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086" w:rsidRPr="00120086" w:rsidRDefault="00120086" w:rsidP="00120086">
      <w:pPr>
        <w:jc w:val="center"/>
        <w:rPr>
          <w:rFonts w:ascii="Arial" w:eastAsia="Times New Roman" w:hAnsi="Arial" w:cs="Arial"/>
          <w:b/>
          <w:color w:val="000000"/>
        </w:rPr>
      </w:pPr>
      <w:r w:rsidRPr="00120086">
        <w:rPr>
          <w:rFonts w:ascii="Arial" w:eastAsia="Times New Roman" w:hAnsi="Arial" w:cs="Arial"/>
          <w:b/>
          <w:color w:val="000000"/>
        </w:rPr>
        <w:t>How Are Letter Grades Earned?</w:t>
      </w:r>
    </w:p>
    <w:p w:rsidR="00120086" w:rsidRPr="00120086" w:rsidRDefault="00120086" w:rsidP="00120086">
      <w:pPr>
        <w:jc w:val="center"/>
        <w:rPr>
          <w:rFonts w:ascii="Arial" w:eastAsia="Times New Roman" w:hAnsi="Arial" w:cs="Arial"/>
          <w:color w:val="000000"/>
        </w:rPr>
      </w:pPr>
    </w:p>
    <w:p w:rsidR="00120086" w:rsidRPr="00120086" w:rsidRDefault="00120086" w:rsidP="00120086">
      <w:pPr>
        <w:rPr>
          <w:rFonts w:ascii="Arial" w:eastAsia="Times New Roman" w:hAnsi="Arial" w:cs="Arial"/>
          <w:color w:val="000000"/>
        </w:rPr>
      </w:pPr>
      <w:r w:rsidRPr="00120086">
        <w:rPr>
          <w:rFonts w:ascii="Arial" w:eastAsia="Times New Roman" w:hAnsi="Arial" w:cs="Arial"/>
          <w:color w:val="000000"/>
        </w:rPr>
        <w:t xml:space="preserve">Stakeholders requested Arkansas align all accountability systems.  The Arkansas Every Student Succeeds Act (ESSA) plan (federal) was approved January 16, 2018. </w:t>
      </w:r>
      <w:r w:rsidR="002E5D4E">
        <w:rPr>
          <w:rFonts w:ascii="Arial" w:eastAsia="Times New Roman" w:hAnsi="Arial" w:cs="Arial"/>
          <w:color w:val="000000"/>
        </w:rPr>
        <w:t xml:space="preserve"> </w:t>
      </w:r>
      <w:r w:rsidRPr="00120086">
        <w:rPr>
          <w:rFonts w:ascii="Arial" w:eastAsia="Times New Roman" w:hAnsi="Arial" w:cs="Arial"/>
          <w:color w:val="000000"/>
        </w:rPr>
        <w:t>Act 744 of 2017 aligned the state accountability systems with the federal requirements and permitted the use of the ESSA School Index score as the universal score for accountability.  </w:t>
      </w:r>
    </w:p>
    <w:p w:rsidR="00120086" w:rsidRPr="00120086" w:rsidRDefault="00120086" w:rsidP="00120086">
      <w:pPr>
        <w:rPr>
          <w:rFonts w:ascii="Arial" w:eastAsia="Times New Roman" w:hAnsi="Arial" w:cs="Arial"/>
          <w:color w:val="000000"/>
        </w:rPr>
      </w:pPr>
      <w:r w:rsidRPr="00120086">
        <w:rPr>
          <w:rFonts w:ascii="Arial" w:eastAsia="Times New Roman" w:hAnsi="Arial" w:cs="Arial"/>
          <w:color w:val="000000"/>
        </w:rPr>
        <w:t> </w:t>
      </w:r>
    </w:p>
    <w:p w:rsidR="00120086" w:rsidRPr="00120086" w:rsidRDefault="00357273" w:rsidP="00120086">
      <w:pPr>
        <w:rPr>
          <w:rFonts w:ascii="Arial" w:eastAsia="Times New Roman" w:hAnsi="Arial" w:cs="Arial"/>
          <w:color w:val="000000"/>
        </w:rPr>
      </w:pPr>
      <w:r>
        <w:rPr>
          <w:rFonts w:ascii="Arial" w:eastAsia="Times New Roman" w:hAnsi="Arial" w:cs="Arial"/>
          <w:b/>
          <w:bCs/>
          <w:i/>
          <w:iCs/>
          <w:color w:val="000000"/>
        </w:rPr>
        <w:t>Steps for Assigning</w:t>
      </w:r>
      <w:r w:rsidR="00120086" w:rsidRPr="00120086">
        <w:rPr>
          <w:rFonts w:ascii="Arial" w:eastAsia="Times New Roman" w:hAnsi="Arial" w:cs="Arial"/>
          <w:b/>
          <w:bCs/>
          <w:i/>
          <w:iCs/>
          <w:color w:val="000000"/>
        </w:rPr>
        <w:t xml:space="preserve"> Letter Grades Earned</w:t>
      </w:r>
    </w:p>
    <w:p w:rsidR="00120086" w:rsidRPr="00120086" w:rsidRDefault="00120086" w:rsidP="00120086">
      <w:pPr>
        <w:rPr>
          <w:rFonts w:ascii="Arial" w:eastAsia="Times New Roman" w:hAnsi="Arial" w:cs="Arial"/>
          <w:color w:val="000000"/>
        </w:rPr>
      </w:pPr>
      <w:r w:rsidRPr="00120086">
        <w:rPr>
          <w:rFonts w:ascii="Arial" w:eastAsia="Times New Roman" w:hAnsi="Arial" w:cs="Arial"/>
          <w:color w:val="000000"/>
        </w:rPr>
        <w:t>The ESSA School Index score and stakeholder recommended rating scale are used to determine the letter grades for schools. The following steps are utilized to determine letter grades or school ratings:</w:t>
      </w:r>
    </w:p>
    <w:p w:rsidR="00120086" w:rsidRPr="00120086" w:rsidRDefault="00120086" w:rsidP="00120086">
      <w:pPr>
        <w:rPr>
          <w:rFonts w:ascii="Arial" w:eastAsia="Times New Roman" w:hAnsi="Arial" w:cs="Arial"/>
          <w:color w:val="000000"/>
        </w:rPr>
      </w:pPr>
      <w:r w:rsidRPr="00120086">
        <w:rPr>
          <w:rFonts w:ascii="Arial" w:eastAsia="Times New Roman" w:hAnsi="Arial" w:cs="Arial"/>
          <w:color w:val="000000"/>
        </w:rPr>
        <w:t> </w:t>
      </w:r>
    </w:p>
    <w:p w:rsidR="00120086" w:rsidRPr="00120086" w:rsidRDefault="00120086" w:rsidP="00120086">
      <w:pPr>
        <w:numPr>
          <w:ilvl w:val="0"/>
          <w:numId w:val="1"/>
        </w:numPr>
        <w:textAlignment w:val="baseline"/>
        <w:rPr>
          <w:rFonts w:ascii="Arial" w:eastAsia="Times New Roman" w:hAnsi="Arial" w:cs="Arial"/>
          <w:color w:val="000000"/>
        </w:rPr>
      </w:pPr>
      <w:r w:rsidRPr="00120086">
        <w:rPr>
          <w:rFonts w:ascii="Arial" w:eastAsia="Times New Roman" w:hAnsi="Arial" w:cs="Arial"/>
          <w:color w:val="000000"/>
        </w:rPr>
        <w:t xml:space="preserve">First each school is assigned to a grade span based on the grades the school serves - elementary, middle or high school. </w:t>
      </w:r>
      <w:hyperlink r:id="rId7" w:history="1">
        <w:r w:rsidRPr="00120086">
          <w:rPr>
            <w:rStyle w:val="Hyperlink"/>
            <w:rFonts w:ascii="Arial" w:eastAsia="Times New Roman" w:hAnsi="Arial" w:cs="Arial"/>
          </w:rPr>
          <w:t>http://www.arkansased.gov/public/userfiles/ESEA/Documents_to_Share/Grade_Spans_and_Grade_Configurations_rv.pdf</w:t>
        </w:r>
      </w:hyperlink>
    </w:p>
    <w:p w:rsidR="00120086" w:rsidRPr="00120086" w:rsidRDefault="00120086" w:rsidP="00120086">
      <w:pPr>
        <w:ind w:left="720"/>
        <w:textAlignment w:val="baseline"/>
        <w:rPr>
          <w:rFonts w:ascii="Arial" w:eastAsia="Times New Roman" w:hAnsi="Arial" w:cs="Arial"/>
          <w:color w:val="000000"/>
        </w:rPr>
      </w:pPr>
    </w:p>
    <w:p w:rsidR="00120086" w:rsidRPr="00120086" w:rsidRDefault="00120086" w:rsidP="00120086">
      <w:pPr>
        <w:rPr>
          <w:rFonts w:ascii="Arial" w:eastAsia="Times New Roman" w:hAnsi="Arial" w:cs="Arial"/>
          <w:color w:val="000000"/>
        </w:rPr>
      </w:pPr>
      <w:r w:rsidRPr="00120086">
        <w:rPr>
          <w:rFonts w:ascii="Arial" w:eastAsia="Times New Roman" w:hAnsi="Arial" w:cs="Arial"/>
          <w:color w:val="000000"/>
        </w:rPr>
        <w:t> </w:t>
      </w:r>
    </w:p>
    <w:p w:rsidR="00120086" w:rsidRPr="00120086" w:rsidRDefault="00120086" w:rsidP="00357273">
      <w:pPr>
        <w:numPr>
          <w:ilvl w:val="0"/>
          <w:numId w:val="1"/>
        </w:numPr>
        <w:textAlignment w:val="baseline"/>
        <w:rPr>
          <w:rFonts w:ascii="Arial" w:eastAsia="Times New Roman" w:hAnsi="Arial" w:cs="Arial"/>
          <w:color w:val="000000"/>
        </w:rPr>
      </w:pPr>
      <w:r w:rsidRPr="00120086">
        <w:rPr>
          <w:rFonts w:ascii="Arial" w:eastAsia="Times New Roman" w:hAnsi="Arial" w:cs="Arial"/>
          <w:color w:val="000000"/>
        </w:rPr>
        <w:t>Then a schools’ overall ESSA School Index score is calculated by determining the school’s weighted achievement score, value added growth score, graduation rate, and school quality and student success score. </w:t>
      </w:r>
    </w:p>
    <w:p w:rsidR="00120086" w:rsidRPr="00120086" w:rsidRDefault="00B94C46" w:rsidP="00120086">
      <w:pPr>
        <w:ind w:left="720"/>
        <w:textAlignment w:val="baseline"/>
        <w:rPr>
          <w:rFonts w:ascii="Arial" w:eastAsia="Times New Roman" w:hAnsi="Arial" w:cs="Arial"/>
          <w:color w:val="000000"/>
        </w:rPr>
      </w:pPr>
      <w:hyperlink r:id="rId8" w:history="1">
        <w:r w:rsidR="00120086" w:rsidRPr="00120086">
          <w:rPr>
            <w:rStyle w:val="Hyperlink"/>
            <w:rFonts w:ascii="Arial" w:eastAsia="Times New Roman" w:hAnsi="Arial" w:cs="Arial"/>
          </w:rPr>
          <w:t>http://www.arkansased.gov/public/userfiles/ESEA/Documents_to_Share/What_is_the_ESSA_School_Index.pdf</w:t>
        </w:r>
      </w:hyperlink>
      <w:r w:rsidR="00120086" w:rsidRPr="00120086">
        <w:rPr>
          <w:rFonts w:ascii="Arial" w:eastAsia="Times New Roman" w:hAnsi="Arial" w:cs="Arial"/>
          <w:color w:val="000000"/>
        </w:rPr>
        <w:t>  The scores are multiplied by the following weights:</w:t>
      </w:r>
    </w:p>
    <w:tbl>
      <w:tblPr>
        <w:tblW w:w="0" w:type="auto"/>
        <w:tblCellMar>
          <w:left w:w="0" w:type="dxa"/>
          <w:right w:w="0" w:type="dxa"/>
        </w:tblCellMar>
        <w:tblLook w:val="04A0" w:firstRow="1" w:lastRow="0" w:firstColumn="1" w:lastColumn="0" w:noHBand="0" w:noVBand="1"/>
      </w:tblPr>
      <w:tblGrid>
        <w:gridCol w:w="2111"/>
        <w:gridCol w:w="1995"/>
        <w:gridCol w:w="2133"/>
        <w:gridCol w:w="3101"/>
      </w:tblGrid>
      <w:tr w:rsidR="00120086" w:rsidRPr="00120086" w:rsidTr="00120086">
        <w:trPr>
          <w:trHeight w:val="807"/>
        </w:trPr>
        <w:tc>
          <w:tcPr>
            <w:tcW w:w="0" w:type="auto"/>
            <w:tcBorders>
              <w:top w:val="single" w:sz="8" w:space="0" w:color="000000"/>
              <w:left w:val="single" w:sz="8" w:space="0" w:color="000000"/>
              <w:bottom w:val="single" w:sz="8" w:space="0" w:color="000000"/>
              <w:right w:val="single" w:sz="8" w:space="0" w:color="000000"/>
            </w:tcBorders>
            <w:shd w:val="clear" w:color="auto" w:fill="00539B"/>
            <w:tcMar>
              <w:top w:w="100" w:type="dxa"/>
              <w:left w:w="100" w:type="dxa"/>
              <w:bottom w:w="100" w:type="dxa"/>
              <w:right w:w="100" w:type="dxa"/>
            </w:tcMar>
            <w:hideMark/>
          </w:tcPr>
          <w:p w:rsidR="00120086" w:rsidRPr="00120086" w:rsidRDefault="00120086" w:rsidP="00120086">
            <w:pPr>
              <w:rPr>
                <w:rFonts w:ascii="Arial" w:eastAsia="Times New Roman" w:hAnsi="Arial" w:cs="Arial"/>
                <w:color w:val="000000"/>
                <w:sz w:val="16"/>
                <w:szCs w:val="16"/>
              </w:rPr>
            </w:pPr>
          </w:p>
        </w:tc>
        <w:tc>
          <w:tcPr>
            <w:tcW w:w="0" w:type="auto"/>
            <w:tcBorders>
              <w:top w:val="single" w:sz="8" w:space="0" w:color="000000"/>
              <w:left w:val="nil"/>
              <w:bottom w:val="single" w:sz="8" w:space="0" w:color="000000"/>
              <w:right w:val="single" w:sz="8" w:space="0" w:color="000000"/>
            </w:tcBorders>
            <w:shd w:val="clear" w:color="auto" w:fill="00539B"/>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b/>
                <w:bCs/>
                <w:color w:val="FFFFFF"/>
                <w:sz w:val="16"/>
                <w:szCs w:val="16"/>
              </w:rPr>
              <w:t>Weight of Indicator within Index for Grade Spans</w:t>
            </w:r>
          </w:p>
          <w:p w:rsidR="00120086" w:rsidRPr="00120086" w:rsidRDefault="00120086" w:rsidP="00120086">
            <w:pPr>
              <w:rPr>
                <w:rFonts w:ascii="Arial" w:eastAsia="Times New Roman" w:hAnsi="Arial" w:cs="Arial"/>
                <w:sz w:val="16"/>
                <w:szCs w:val="16"/>
              </w:rPr>
            </w:pPr>
            <w:r w:rsidRPr="00120086">
              <w:rPr>
                <w:rFonts w:ascii="Arial" w:eastAsia="Times New Roman" w:hAnsi="Arial" w:cs="Arial"/>
                <w:b/>
                <w:bCs/>
                <w:color w:val="FFFFFF"/>
                <w:sz w:val="16"/>
                <w:szCs w:val="16"/>
              </w:rPr>
              <w:t>Elementary &amp; Middle</w:t>
            </w:r>
          </w:p>
        </w:tc>
        <w:tc>
          <w:tcPr>
            <w:tcW w:w="0" w:type="auto"/>
            <w:tcBorders>
              <w:top w:val="single" w:sz="8" w:space="0" w:color="000000"/>
              <w:left w:val="nil"/>
              <w:bottom w:val="single" w:sz="8" w:space="0" w:color="000000"/>
              <w:right w:val="single" w:sz="8" w:space="0" w:color="000000"/>
            </w:tcBorders>
            <w:shd w:val="clear" w:color="auto" w:fill="00539B"/>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p>
        </w:tc>
        <w:tc>
          <w:tcPr>
            <w:tcW w:w="0" w:type="auto"/>
            <w:tcBorders>
              <w:top w:val="single" w:sz="8" w:space="0" w:color="000000"/>
              <w:left w:val="nil"/>
              <w:bottom w:val="single" w:sz="8" w:space="0" w:color="000000"/>
              <w:right w:val="single" w:sz="8" w:space="0" w:color="000000"/>
            </w:tcBorders>
            <w:shd w:val="clear" w:color="auto" w:fill="00539B"/>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b/>
                <w:bCs/>
                <w:color w:val="FFFFFF"/>
                <w:sz w:val="16"/>
                <w:szCs w:val="16"/>
              </w:rPr>
              <w:t>Weight of Indicator within Index for Grade Span High School</w:t>
            </w:r>
          </w:p>
        </w:tc>
      </w:tr>
      <w:tr w:rsidR="00120086" w:rsidRPr="00120086" w:rsidTr="00120086">
        <w:trPr>
          <w:trHeight w:val="64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Weighted Achievement Indicator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35%</w:t>
            </w:r>
          </w:p>
        </w:tc>
        <w:tc>
          <w:tcPr>
            <w:tcW w:w="0" w:type="auto"/>
            <w:vMerge w:val="restart"/>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Weighted Achievement and Academic Growth Indicators</w:t>
            </w:r>
          </w:p>
        </w:tc>
        <w:tc>
          <w:tcPr>
            <w:tcW w:w="0" w:type="auto"/>
            <w:vMerge w:val="restart"/>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70% total</w:t>
            </w:r>
          </w:p>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with Weighted Achievement accounting for half (35%) and Growth Score accounting for half (35%)</w:t>
            </w:r>
          </w:p>
        </w:tc>
      </w:tr>
      <w:tr w:rsidR="00120086" w:rsidRPr="00120086" w:rsidTr="00120086">
        <w:trPr>
          <w:trHeight w:val="78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Growth Indicator</w:t>
            </w:r>
          </w:p>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Academic Growth and  English Language Progress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50%</w:t>
            </w:r>
          </w:p>
        </w:tc>
        <w:tc>
          <w:tcPr>
            <w:tcW w:w="0" w:type="auto"/>
            <w:vMerge/>
            <w:tcBorders>
              <w:top w:val="nil"/>
              <w:left w:val="nil"/>
              <w:bottom w:val="single" w:sz="8" w:space="0" w:color="000000"/>
              <w:right w:val="single" w:sz="8" w:space="0" w:color="000000"/>
            </w:tcBorders>
            <w:vAlign w:val="center"/>
            <w:hideMark/>
          </w:tcPr>
          <w:p w:rsidR="00120086" w:rsidRPr="00120086" w:rsidRDefault="00120086" w:rsidP="00120086">
            <w:pPr>
              <w:rPr>
                <w:rFonts w:ascii="Arial" w:eastAsia="Times New Roman" w:hAnsi="Arial" w:cs="Arial"/>
                <w:sz w:val="16"/>
                <w:szCs w:val="16"/>
              </w:rPr>
            </w:pPr>
          </w:p>
        </w:tc>
        <w:tc>
          <w:tcPr>
            <w:tcW w:w="0" w:type="auto"/>
            <w:vMerge/>
            <w:tcBorders>
              <w:top w:val="nil"/>
              <w:left w:val="nil"/>
              <w:bottom w:val="single" w:sz="8" w:space="0" w:color="000000"/>
              <w:right w:val="single" w:sz="8" w:space="0" w:color="000000"/>
            </w:tcBorders>
            <w:vAlign w:val="center"/>
            <w:hideMark/>
          </w:tcPr>
          <w:p w:rsidR="00120086" w:rsidRPr="00120086" w:rsidRDefault="00120086" w:rsidP="00120086">
            <w:pPr>
              <w:rPr>
                <w:rFonts w:ascii="Arial" w:eastAsia="Times New Roman" w:hAnsi="Arial" w:cs="Arial"/>
                <w:sz w:val="16"/>
                <w:szCs w:val="16"/>
              </w:rPr>
            </w:pPr>
          </w:p>
        </w:tc>
      </w:tr>
      <w:tr w:rsidR="00120086" w:rsidRPr="00120086" w:rsidTr="00120086">
        <w:trPr>
          <w:trHeight w:val="110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Graduation Rate Indicator 4-Year Adjusted Cohort Rate</w:t>
            </w:r>
          </w:p>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5-Year Adjusted Cohort Rate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NA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Graduation Rate Indicator 4-Year Adjusted Cohort Rate</w:t>
            </w:r>
          </w:p>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5-Year Adjusted Cohort Rate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15% total</w:t>
            </w:r>
          </w:p>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4-Yr = 10%</w:t>
            </w:r>
          </w:p>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5-Yr = 5%</w:t>
            </w:r>
          </w:p>
        </w:tc>
      </w:tr>
      <w:tr w:rsidR="00120086" w:rsidRPr="00120086" w:rsidTr="00120086">
        <w:trPr>
          <w:trHeight w:val="66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School Quality and Student Success Indicator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15%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School Quality and Student Success Indicator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sz w:val="16"/>
                <w:szCs w:val="16"/>
              </w:rPr>
            </w:pPr>
            <w:r w:rsidRPr="00120086">
              <w:rPr>
                <w:rFonts w:ascii="Arial" w:eastAsia="Times New Roman" w:hAnsi="Arial" w:cs="Arial"/>
                <w:color w:val="000000"/>
                <w:sz w:val="16"/>
                <w:szCs w:val="16"/>
              </w:rPr>
              <w:t>15%</w:t>
            </w:r>
          </w:p>
        </w:tc>
      </w:tr>
    </w:tbl>
    <w:p w:rsidR="00120086" w:rsidRDefault="00120086" w:rsidP="00120086">
      <w:pPr>
        <w:rPr>
          <w:rFonts w:ascii="Arial" w:eastAsia="Times New Roman" w:hAnsi="Arial" w:cs="Arial"/>
          <w:color w:val="000000"/>
        </w:rPr>
      </w:pPr>
      <w:r w:rsidRPr="00120086">
        <w:rPr>
          <w:rFonts w:ascii="Arial" w:eastAsia="Times New Roman" w:hAnsi="Arial" w:cs="Arial"/>
          <w:color w:val="000000"/>
        </w:rPr>
        <w:t> </w:t>
      </w:r>
    </w:p>
    <w:p w:rsidR="00357273" w:rsidRPr="00120086" w:rsidRDefault="00357273" w:rsidP="00120086">
      <w:pPr>
        <w:rPr>
          <w:rFonts w:ascii="Arial" w:eastAsia="Times New Roman" w:hAnsi="Arial" w:cs="Arial"/>
          <w:color w:val="000000"/>
        </w:rPr>
      </w:pPr>
    </w:p>
    <w:p w:rsidR="00120086" w:rsidRPr="00120086" w:rsidRDefault="00120086" w:rsidP="00357273">
      <w:pPr>
        <w:numPr>
          <w:ilvl w:val="0"/>
          <w:numId w:val="1"/>
        </w:numPr>
        <w:textAlignment w:val="baseline"/>
        <w:rPr>
          <w:rFonts w:ascii="Arial" w:eastAsia="Times New Roman" w:hAnsi="Arial" w:cs="Arial"/>
          <w:color w:val="000000"/>
        </w:rPr>
      </w:pPr>
      <w:r w:rsidRPr="00120086">
        <w:rPr>
          <w:rFonts w:ascii="Arial" w:eastAsia="Times New Roman" w:hAnsi="Arial" w:cs="Arial"/>
          <w:color w:val="000000"/>
        </w:rPr>
        <w:lastRenderedPageBreak/>
        <w:t>Finally, the total score for each school will determine the school rating. The school ratings for each grade span are listed below:</w:t>
      </w:r>
    </w:p>
    <w:tbl>
      <w:tblPr>
        <w:tblW w:w="0" w:type="auto"/>
        <w:tblCellMar>
          <w:left w:w="0" w:type="dxa"/>
          <w:right w:w="0" w:type="dxa"/>
        </w:tblCellMar>
        <w:tblLook w:val="04A0" w:firstRow="1" w:lastRow="0" w:firstColumn="1" w:lastColumn="0" w:noHBand="0" w:noVBand="1"/>
      </w:tblPr>
      <w:tblGrid>
        <w:gridCol w:w="1495"/>
        <w:gridCol w:w="1548"/>
        <w:gridCol w:w="4136"/>
      </w:tblGrid>
      <w:tr w:rsidR="00120086" w:rsidRPr="00120086" w:rsidTr="001200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Grade Span</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Letter Grade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 xml:space="preserve">Cut Scores </w:t>
            </w:r>
            <w:r w:rsidR="002E5D4E">
              <w:rPr>
                <w:rFonts w:ascii="Arial" w:eastAsia="Times New Roman" w:hAnsi="Arial" w:cs="Arial"/>
                <w:color w:val="000000"/>
              </w:rPr>
              <w:t>effective October 1, 2018</w:t>
            </w:r>
          </w:p>
        </w:tc>
        <w:bookmarkStart w:id="0" w:name="_GoBack"/>
        <w:bookmarkEnd w:id="0"/>
      </w:tr>
      <w:tr w:rsidR="00120086" w:rsidRPr="00120086" w:rsidTr="0012008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Elementary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A</w:t>
            </w:r>
          </w:p>
        </w:tc>
        <w:tc>
          <w:tcPr>
            <w:tcW w:w="0" w:type="auto"/>
            <w:tcBorders>
              <w:top w:val="nil"/>
              <w:left w:val="nil"/>
              <w:bottom w:val="single" w:sz="8" w:space="0" w:color="000000"/>
              <w:right w:val="single" w:sz="8" w:space="0" w:color="000000"/>
            </w:tcBorders>
            <w:shd w:val="clear" w:color="auto" w:fill="E2EFDA"/>
            <w:tcMar>
              <w:top w:w="0" w:type="dxa"/>
              <w:left w:w="0" w:type="dxa"/>
              <w:bottom w:w="120" w:type="dxa"/>
              <w:right w:w="0" w:type="dxa"/>
            </w:tcMar>
            <w:vAlign w:val="bottom"/>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79.26 &lt;= Score</w:t>
            </w:r>
          </w:p>
        </w:tc>
      </w:tr>
      <w:tr w:rsidR="00120086" w:rsidRPr="00120086" w:rsidTr="0012008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B</w:t>
            </w:r>
          </w:p>
        </w:tc>
        <w:tc>
          <w:tcPr>
            <w:tcW w:w="0" w:type="auto"/>
            <w:tcBorders>
              <w:top w:val="nil"/>
              <w:left w:val="nil"/>
              <w:bottom w:val="single" w:sz="8" w:space="0" w:color="000000"/>
              <w:right w:val="single" w:sz="8" w:space="0" w:color="000000"/>
            </w:tcBorders>
            <w:shd w:val="clear" w:color="auto" w:fill="E2EFDA"/>
            <w:tcMar>
              <w:top w:w="0" w:type="dxa"/>
              <w:left w:w="0" w:type="dxa"/>
              <w:bottom w:w="120" w:type="dxa"/>
              <w:right w:w="0" w:type="dxa"/>
            </w:tcMar>
            <w:vAlign w:val="bottom"/>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72.17 - 79.25</w:t>
            </w:r>
          </w:p>
        </w:tc>
      </w:tr>
      <w:tr w:rsidR="00120086" w:rsidRPr="00120086" w:rsidTr="0012008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C</w:t>
            </w:r>
          </w:p>
        </w:tc>
        <w:tc>
          <w:tcPr>
            <w:tcW w:w="0" w:type="auto"/>
            <w:tcBorders>
              <w:top w:val="nil"/>
              <w:left w:val="nil"/>
              <w:bottom w:val="single" w:sz="8" w:space="0" w:color="000000"/>
              <w:right w:val="single" w:sz="8" w:space="0" w:color="000000"/>
            </w:tcBorders>
            <w:shd w:val="clear" w:color="auto" w:fill="E2EFDA"/>
            <w:tcMar>
              <w:top w:w="0" w:type="dxa"/>
              <w:left w:w="0" w:type="dxa"/>
              <w:bottom w:w="120" w:type="dxa"/>
              <w:right w:w="0" w:type="dxa"/>
            </w:tcMar>
            <w:vAlign w:val="bottom"/>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64.98 - 72.16</w:t>
            </w:r>
          </w:p>
        </w:tc>
      </w:tr>
      <w:tr w:rsidR="00120086" w:rsidRPr="00120086" w:rsidTr="0012008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D</w:t>
            </w:r>
          </w:p>
        </w:tc>
        <w:tc>
          <w:tcPr>
            <w:tcW w:w="0" w:type="auto"/>
            <w:tcBorders>
              <w:top w:val="nil"/>
              <w:left w:val="nil"/>
              <w:bottom w:val="single" w:sz="8" w:space="0" w:color="000000"/>
              <w:right w:val="single" w:sz="8" w:space="0" w:color="000000"/>
            </w:tcBorders>
            <w:shd w:val="clear" w:color="auto" w:fill="E2EFDA"/>
            <w:tcMar>
              <w:top w:w="0" w:type="dxa"/>
              <w:left w:w="0" w:type="dxa"/>
              <w:bottom w:w="120" w:type="dxa"/>
              <w:right w:w="0" w:type="dxa"/>
            </w:tcMar>
            <w:vAlign w:val="bottom"/>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58.09 - 64.97</w:t>
            </w:r>
          </w:p>
        </w:tc>
      </w:tr>
      <w:tr w:rsidR="00120086" w:rsidRPr="00120086" w:rsidTr="0012008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F</w:t>
            </w:r>
          </w:p>
        </w:tc>
        <w:tc>
          <w:tcPr>
            <w:tcW w:w="0" w:type="auto"/>
            <w:tcBorders>
              <w:top w:val="nil"/>
              <w:left w:val="nil"/>
              <w:bottom w:val="single" w:sz="8" w:space="0" w:color="000000"/>
              <w:right w:val="single" w:sz="8" w:space="0" w:color="000000"/>
            </w:tcBorders>
            <w:shd w:val="clear" w:color="auto" w:fill="E2EFDA"/>
            <w:tcMar>
              <w:top w:w="0" w:type="dxa"/>
              <w:left w:w="0" w:type="dxa"/>
              <w:bottom w:w="120" w:type="dxa"/>
              <w:right w:w="0" w:type="dxa"/>
            </w:tcMar>
            <w:vAlign w:val="bottom"/>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Score &lt; 58.09</w:t>
            </w:r>
          </w:p>
        </w:tc>
      </w:tr>
      <w:tr w:rsidR="00120086" w:rsidRPr="00120086" w:rsidTr="0012008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Middle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A</w:t>
            </w:r>
          </w:p>
        </w:tc>
        <w:tc>
          <w:tcPr>
            <w:tcW w:w="0" w:type="auto"/>
            <w:tcBorders>
              <w:top w:val="nil"/>
              <w:left w:val="nil"/>
              <w:bottom w:val="single" w:sz="8" w:space="0" w:color="000000"/>
              <w:right w:val="single" w:sz="8" w:space="0" w:color="000000"/>
            </w:tcBorders>
            <w:shd w:val="clear" w:color="auto" w:fill="C6E0B4"/>
            <w:tcMar>
              <w:top w:w="0" w:type="dxa"/>
              <w:left w:w="0" w:type="dxa"/>
              <w:bottom w:w="120" w:type="dxa"/>
              <w:right w:w="0" w:type="dxa"/>
            </w:tcMar>
            <w:vAlign w:val="bottom"/>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75.59 &lt;= Score</w:t>
            </w:r>
          </w:p>
        </w:tc>
      </w:tr>
      <w:tr w:rsidR="00120086" w:rsidRPr="00120086" w:rsidTr="0012008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B</w:t>
            </w:r>
          </w:p>
        </w:tc>
        <w:tc>
          <w:tcPr>
            <w:tcW w:w="0" w:type="auto"/>
            <w:tcBorders>
              <w:top w:val="nil"/>
              <w:left w:val="nil"/>
              <w:bottom w:val="single" w:sz="8" w:space="0" w:color="000000"/>
              <w:right w:val="single" w:sz="8" w:space="0" w:color="000000"/>
            </w:tcBorders>
            <w:shd w:val="clear" w:color="auto" w:fill="C6E0B4"/>
            <w:tcMar>
              <w:top w:w="0" w:type="dxa"/>
              <w:left w:w="0" w:type="dxa"/>
              <w:bottom w:w="120" w:type="dxa"/>
              <w:right w:w="0" w:type="dxa"/>
            </w:tcMar>
            <w:vAlign w:val="bottom"/>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69.94 - 75.58</w:t>
            </w:r>
          </w:p>
        </w:tc>
      </w:tr>
      <w:tr w:rsidR="00120086" w:rsidRPr="00120086" w:rsidTr="0012008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C</w:t>
            </w:r>
          </w:p>
        </w:tc>
        <w:tc>
          <w:tcPr>
            <w:tcW w:w="0" w:type="auto"/>
            <w:tcBorders>
              <w:top w:val="nil"/>
              <w:left w:val="nil"/>
              <w:bottom w:val="single" w:sz="8" w:space="0" w:color="000000"/>
              <w:right w:val="single" w:sz="8" w:space="0" w:color="000000"/>
            </w:tcBorders>
            <w:shd w:val="clear" w:color="auto" w:fill="C6E0B4"/>
            <w:tcMar>
              <w:top w:w="0" w:type="dxa"/>
              <w:left w:w="0" w:type="dxa"/>
              <w:bottom w:w="120" w:type="dxa"/>
              <w:right w:w="0" w:type="dxa"/>
            </w:tcMar>
            <w:vAlign w:val="bottom"/>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63.73 - 69.93</w:t>
            </w:r>
          </w:p>
        </w:tc>
      </w:tr>
      <w:tr w:rsidR="00120086" w:rsidRPr="00120086" w:rsidTr="0012008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D</w:t>
            </w:r>
          </w:p>
        </w:tc>
        <w:tc>
          <w:tcPr>
            <w:tcW w:w="0" w:type="auto"/>
            <w:tcBorders>
              <w:top w:val="nil"/>
              <w:left w:val="nil"/>
              <w:bottom w:val="single" w:sz="8" w:space="0" w:color="000000"/>
              <w:right w:val="single" w:sz="8" w:space="0" w:color="000000"/>
            </w:tcBorders>
            <w:shd w:val="clear" w:color="auto" w:fill="C6E0B4"/>
            <w:tcMar>
              <w:top w:w="0" w:type="dxa"/>
              <w:left w:w="0" w:type="dxa"/>
              <w:bottom w:w="120" w:type="dxa"/>
              <w:right w:w="0" w:type="dxa"/>
            </w:tcMar>
            <w:vAlign w:val="bottom"/>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53.58 - 63.72</w:t>
            </w:r>
          </w:p>
        </w:tc>
      </w:tr>
      <w:tr w:rsidR="00120086" w:rsidRPr="00120086" w:rsidTr="0012008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F</w:t>
            </w:r>
          </w:p>
        </w:tc>
        <w:tc>
          <w:tcPr>
            <w:tcW w:w="0" w:type="auto"/>
            <w:tcBorders>
              <w:top w:val="nil"/>
              <w:left w:val="nil"/>
              <w:bottom w:val="single" w:sz="8" w:space="0" w:color="000000"/>
              <w:right w:val="single" w:sz="8" w:space="0" w:color="000000"/>
            </w:tcBorders>
            <w:shd w:val="clear" w:color="auto" w:fill="C6E0B4"/>
            <w:tcMar>
              <w:top w:w="0" w:type="dxa"/>
              <w:left w:w="0" w:type="dxa"/>
              <w:bottom w:w="120" w:type="dxa"/>
              <w:right w:w="0" w:type="dxa"/>
            </w:tcMar>
            <w:vAlign w:val="bottom"/>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Score &lt; 53.58</w:t>
            </w:r>
          </w:p>
        </w:tc>
      </w:tr>
      <w:tr w:rsidR="00120086" w:rsidRPr="00120086" w:rsidTr="0012008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High School</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A</w:t>
            </w:r>
          </w:p>
        </w:tc>
        <w:tc>
          <w:tcPr>
            <w:tcW w:w="0" w:type="auto"/>
            <w:tcBorders>
              <w:top w:val="nil"/>
              <w:left w:val="nil"/>
              <w:bottom w:val="single" w:sz="8" w:space="0" w:color="000000"/>
              <w:right w:val="single" w:sz="8" w:space="0" w:color="000000"/>
            </w:tcBorders>
            <w:shd w:val="clear" w:color="auto" w:fill="A9D08E"/>
            <w:tcMar>
              <w:top w:w="0" w:type="dxa"/>
              <w:left w:w="0" w:type="dxa"/>
              <w:bottom w:w="120" w:type="dxa"/>
              <w:right w:w="0" w:type="dxa"/>
            </w:tcMar>
            <w:vAlign w:val="bottom"/>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73.22 &lt;= Score</w:t>
            </w:r>
          </w:p>
        </w:tc>
      </w:tr>
      <w:tr w:rsidR="00120086" w:rsidRPr="00120086" w:rsidTr="0012008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B</w:t>
            </w:r>
          </w:p>
        </w:tc>
        <w:tc>
          <w:tcPr>
            <w:tcW w:w="0" w:type="auto"/>
            <w:tcBorders>
              <w:top w:val="nil"/>
              <w:left w:val="nil"/>
              <w:bottom w:val="single" w:sz="8" w:space="0" w:color="000000"/>
              <w:right w:val="single" w:sz="8" w:space="0" w:color="000000"/>
            </w:tcBorders>
            <w:shd w:val="clear" w:color="auto" w:fill="A9D08E"/>
            <w:tcMar>
              <w:top w:w="0" w:type="dxa"/>
              <w:left w:w="0" w:type="dxa"/>
              <w:bottom w:w="120" w:type="dxa"/>
              <w:right w:w="0" w:type="dxa"/>
            </w:tcMar>
            <w:vAlign w:val="bottom"/>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67.96 - 73.21</w:t>
            </w:r>
          </w:p>
        </w:tc>
      </w:tr>
      <w:tr w:rsidR="00120086" w:rsidRPr="00120086" w:rsidTr="0012008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C</w:t>
            </w:r>
          </w:p>
        </w:tc>
        <w:tc>
          <w:tcPr>
            <w:tcW w:w="0" w:type="auto"/>
            <w:tcBorders>
              <w:top w:val="nil"/>
              <w:left w:val="nil"/>
              <w:bottom w:val="single" w:sz="8" w:space="0" w:color="000000"/>
              <w:right w:val="single" w:sz="8" w:space="0" w:color="000000"/>
            </w:tcBorders>
            <w:shd w:val="clear" w:color="auto" w:fill="A9D08E"/>
            <w:tcMar>
              <w:top w:w="0" w:type="dxa"/>
              <w:left w:w="0" w:type="dxa"/>
              <w:bottom w:w="120" w:type="dxa"/>
              <w:right w:w="0" w:type="dxa"/>
            </w:tcMar>
            <w:vAlign w:val="bottom"/>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61.10 - 67.95</w:t>
            </w:r>
          </w:p>
        </w:tc>
      </w:tr>
      <w:tr w:rsidR="00120086" w:rsidRPr="00120086" w:rsidTr="0012008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D</w:t>
            </w:r>
          </w:p>
        </w:tc>
        <w:tc>
          <w:tcPr>
            <w:tcW w:w="0" w:type="auto"/>
            <w:tcBorders>
              <w:top w:val="nil"/>
              <w:left w:val="nil"/>
              <w:bottom w:val="single" w:sz="8" w:space="0" w:color="000000"/>
              <w:right w:val="single" w:sz="8" w:space="0" w:color="000000"/>
            </w:tcBorders>
            <w:shd w:val="clear" w:color="auto" w:fill="A9D08E"/>
            <w:tcMar>
              <w:top w:w="0" w:type="dxa"/>
              <w:left w:w="0" w:type="dxa"/>
              <w:bottom w:w="120" w:type="dxa"/>
              <w:right w:w="0" w:type="dxa"/>
            </w:tcMar>
            <w:vAlign w:val="bottom"/>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52.95 - 61.09</w:t>
            </w:r>
          </w:p>
        </w:tc>
      </w:tr>
      <w:tr w:rsidR="00120086" w:rsidRPr="00120086" w:rsidTr="0012008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F</w:t>
            </w:r>
          </w:p>
        </w:tc>
        <w:tc>
          <w:tcPr>
            <w:tcW w:w="0" w:type="auto"/>
            <w:tcBorders>
              <w:top w:val="nil"/>
              <w:left w:val="nil"/>
              <w:bottom w:val="single" w:sz="8" w:space="0" w:color="000000"/>
              <w:right w:val="single" w:sz="8" w:space="0" w:color="000000"/>
            </w:tcBorders>
            <w:shd w:val="clear" w:color="auto" w:fill="A9D08E"/>
            <w:tcMar>
              <w:top w:w="0" w:type="dxa"/>
              <w:left w:w="0" w:type="dxa"/>
              <w:bottom w:w="120" w:type="dxa"/>
              <w:right w:w="0" w:type="dxa"/>
            </w:tcMar>
            <w:vAlign w:val="bottom"/>
            <w:hideMark/>
          </w:tcPr>
          <w:p w:rsidR="00120086" w:rsidRPr="00120086" w:rsidRDefault="00120086" w:rsidP="00120086">
            <w:pPr>
              <w:rPr>
                <w:rFonts w:ascii="Arial" w:eastAsia="Times New Roman" w:hAnsi="Arial" w:cs="Arial"/>
              </w:rPr>
            </w:pPr>
            <w:r w:rsidRPr="00120086">
              <w:rPr>
                <w:rFonts w:ascii="Arial" w:eastAsia="Times New Roman" w:hAnsi="Arial" w:cs="Arial"/>
                <w:color w:val="000000"/>
              </w:rPr>
              <w:t>Score &lt; 52.95</w:t>
            </w:r>
          </w:p>
        </w:tc>
      </w:tr>
    </w:tbl>
    <w:p w:rsidR="00120086" w:rsidRPr="00120086" w:rsidRDefault="00120086" w:rsidP="00120086">
      <w:pPr>
        <w:rPr>
          <w:rFonts w:ascii="Arial" w:eastAsia="Times New Roman" w:hAnsi="Arial" w:cs="Arial"/>
          <w:color w:val="000000"/>
        </w:rPr>
      </w:pPr>
      <w:r w:rsidRPr="00120086">
        <w:rPr>
          <w:rFonts w:ascii="Arial" w:eastAsia="Times New Roman" w:hAnsi="Arial" w:cs="Arial"/>
          <w:color w:val="000000"/>
        </w:rPr>
        <w:t> </w:t>
      </w:r>
    </w:p>
    <w:p w:rsidR="00120086" w:rsidRDefault="00D20EEE" w:rsidP="00120086">
      <w:pPr>
        <w:rPr>
          <w:rFonts w:ascii="Arial" w:eastAsia="Times New Roman" w:hAnsi="Arial" w:cs="Arial"/>
          <w:color w:val="000000"/>
        </w:rPr>
      </w:pPr>
      <w:r>
        <w:rPr>
          <w:rFonts w:ascii="Arial" w:eastAsia="Times New Roman" w:hAnsi="Arial" w:cs="Arial"/>
          <w:color w:val="000000"/>
        </w:rPr>
        <w:t>Arkansas Department of Education Rules Governing Public School Rating Systems on Annual School Performance and the School Recognition Program, Effective October 1, 2018</w:t>
      </w:r>
    </w:p>
    <w:p w:rsidR="00D615AA" w:rsidRDefault="00B94C46" w:rsidP="00120086">
      <w:pPr>
        <w:rPr>
          <w:rFonts w:ascii="Arial" w:eastAsia="Times New Roman" w:hAnsi="Arial" w:cs="Arial"/>
          <w:color w:val="000000"/>
        </w:rPr>
      </w:pPr>
      <w:hyperlink r:id="rId9" w:history="1">
        <w:r w:rsidR="00D615AA" w:rsidRPr="004C0F53">
          <w:rPr>
            <w:rStyle w:val="Hyperlink"/>
            <w:rFonts w:ascii="Arial" w:eastAsia="Times New Roman" w:hAnsi="Arial" w:cs="Arial"/>
          </w:rPr>
          <w:t>http://www.arkansased.gov/public/userfiles/Legal/Legal-Current%20Rules/ade_334_--_Rules_Governing_the_School_Rating_System.pdf</w:t>
        </w:r>
      </w:hyperlink>
    </w:p>
    <w:p w:rsidR="00D615AA" w:rsidRPr="00120086" w:rsidRDefault="00D615AA" w:rsidP="00120086">
      <w:pPr>
        <w:rPr>
          <w:rFonts w:ascii="Arial" w:eastAsia="Times New Roman" w:hAnsi="Arial" w:cs="Arial"/>
          <w:color w:val="000000"/>
        </w:rPr>
      </w:pPr>
    </w:p>
    <w:p w:rsidR="0053450A" w:rsidRPr="00120086" w:rsidRDefault="00B94C46">
      <w:pPr>
        <w:rPr>
          <w:rFonts w:ascii="Arial" w:hAnsi="Arial" w:cs="Arial"/>
        </w:rPr>
      </w:pPr>
    </w:p>
    <w:sectPr w:rsidR="0053450A" w:rsidRPr="00120086" w:rsidSect="002A2F3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C46" w:rsidRDefault="00B94C46" w:rsidP="00120086">
      <w:r>
        <w:separator/>
      </w:r>
    </w:p>
  </w:endnote>
  <w:endnote w:type="continuationSeparator" w:id="0">
    <w:p w:rsidR="00B94C46" w:rsidRDefault="00B94C46" w:rsidP="0012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783966"/>
      <w:docPartObj>
        <w:docPartGallery w:val="Page Numbers (Bottom of Page)"/>
        <w:docPartUnique/>
      </w:docPartObj>
    </w:sdtPr>
    <w:sdtEndPr>
      <w:rPr>
        <w:rStyle w:val="PageNumber"/>
      </w:rPr>
    </w:sdtEndPr>
    <w:sdtContent>
      <w:p w:rsidR="00120086" w:rsidRDefault="00120086" w:rsidP="004C0F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0086" w:rsidRDefault="00120086" w:rsidP="001200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7471387"/>
      <w:docPartObj>
        <w:docPartGallery w:val="Page Numbers (Bottom of Page)"/>
        <w:docPartUnique/>
      </w:docPartObj>
    </w:sdtPr>
    <w:sdtEndPr>
      <w:rPr>
        <w:rStyle w:val="PageNumber"/>
      </w:rPr>
    </w:sdtEndPr>
    <w:sdtContent>
      <w:p w:rsidR="00120086" w:rsidRDefault="00120086" w:rsidP="004C0F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20086" w:rsidRDefault="00120086" w:rsidP="001200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C46" w:rsidRDefault="00B94C46" w:rsidP="00120086">
      <w:r>
        <w:separator/>
      </w:r>
    </w:p>
  </w:footnote>
  <w:footnote w:type="continuationSeparator" w:id="0">
    <w:p w:rsidR="00B94C46" w:rsidRDefault="00B94C46" w:rsidP="00120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32F3A"/>
    <w:multiLevelType w:val="multilevel"/>
    <w:tmpl w:val="CB5C131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1D5CA3"/>
    <w:multiLevelType w:val="multilevel"/>
    <w:tmpl w:val="CB5C131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2211FD"/>
    <w:multiLevelType w:val="multilevel"/>
    <w:tmpl w:val="CB5C131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86"/>
    <w:rsid w:val="00120086"/>
    <w:rsid w:val="002A2F34"/>
    <w:rsid w:val="002E5D4E"/>
    <w:rsid w:val="00357273"/>
    <w:rsid w:val="00547770"/>
    <w:rsid w:val="00B94C46"/>
    <w:rsid w:val="00C93F87"/>
    <w:rsid w:val="00D20EEE"/>
    <w:rsid w:val="00D615AA"/>
    <w:rsid w:val="00FC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09498"/>
  <w15:chartTrackingRefBased/>
  <w15:docId w15:val="{0414439A-1718-C74F-A49D-F8050D2D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086"/>
    <w:rPr>
      <w:color w:val="0000FF"/>
      <w:u w:val="single"/>
    </w:rPr>
  </w:style>
  <w:style w:type="character" w:customStyle="1" w:styleId="apple-converted-space">
    <w:name w:val="apple-converted-space"/>
    <w:basedOn w:val="DefaultParagraphFont"/>
    <w:rsid w:val="00120086"/>
  </w:style>
  <w:style w:type="character" w:styleId="UnresolvedMention">
    <w:name w:val="Unresolved Mention"/>
    <w:basedOn w:val="DefaultParagraphFont"/>
    <w:uiPriority w:val="99"/>
    <w:semiHidden/>
    <w:unhideWhenUsed/>
    <w:rsid w:val="00120086"/>
    <w:rPr>
      <w:color w:val="605E5C"/>
      <w:shd w:val="clear" w:color="auto" w:fill="E1DFDD"/>
    </w:rPr>
  </w:style>
  <w:style w:type="paragraph" w:styleId="Footer">
    <w:name w:val="footer"/>
    <w:basedOn w:val="Normal"/>
    <w:link w:val="FooterChar"/>
    <w:uiPriority w:val="99"/>
    <w:unhideWhenUsed/>
    <w:rsid w:val="00120086"/>
    <w:pPr>
      <w:tabs>
        <w:tab w:val="center" w:pos="4680"/>
        <w:tab w:val="right" w:pos="9360"/>
      </w:tabs>
    </w:pPr>
  </w:style>
  <w:style w:type="character" w:customStyle="1" w:styleId="FooterChar">
    <w:name w:val="Footer Char"/>
    <w:basedOn w:val="DefaultParagraphFont"/>
    <w:link w:val="Footer"/>
    <w:uiPriority w:val="99"/>
    <w:rsid w:val="00120086"/>
  </w:style>
  <w:style w:type="character" w:styleId="PageNumber">
    <w:name w:val="page number"/>
    <w:basedOn w:val="DefaultParagraphFont"/>
    <w:uiPriority w:val="99"/>
    <w:semiHidden/>
    <w:unhideWhenUsed/>
    <w:rsid w:val="0012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ansased.gov/public/userfiles/ESEA/Documents_to_Share/What_is_the_ESSA_School_Index.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kansased.gov/public/userfiles/ESEA/Documents_to_Share/Grade_Spans_and_Grade_Configurations_rv.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kansased.gov/public/userfiles/Legal/Legal-Current%20Rules/ade_334_--_Rules_Governing_the_School_Rating_Syst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deborah.coffman@arkansas.gov</dc:creator>
  <cp:keywords/>
  <dc:description/>
  <cp:lastModifiedBy>deborah.coffman@arkansas.gov</cp:lastModifiedBy>
  <cp:revision>4</cp:revision>
  <dcterms:created xsi:type="dcterms:W3CDTF">2018-11-02T12:21:00Z</dcterms:created>
  <dcterms:modified xsi:type="dcterms:W3CDTF">2018-11-06T13:01:00Z</dcterms:modified>
</cp:coreProperties>
</file>