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CB7" w:rsidRDefault="00650CB7" w:rsidP="00650CB7">
      <w:pPr>
        <w:pStyle w:val="Default"/>
      </w:pPr>
    </w:p>
    <w:p w:rsidR="00650CB7" w:rsidRDefault="00650CB7" w:rsidP="00650CB7">
      <w:pPr>
        <w:pStyle w:val="Default"/>
        <w:rPr>
          <w:sz w:val="32"/>
          <w:szCs w:val="32"/>
        </w:rPr>
      </w:pPr>
      <w:r>
        <w:t xml:space="preserve"> </w:t>
      </w:r>
      <w:r>
        <w:rPr>
          <w:b/>
          <w:bCs/>
          <w:color w:val="365F91"/>
          <w:sz w:val="32"/>
          <w:szCs w:val="32"/>
        </w:rPr>
        <w:t xml:space="preserve">TITLE I, Part A: Homeless Set-aside </w:t>
      </w:r>
    </w:p>
    <w:p w:rsidR="00650CB7" w:rsidRDefault="00650CB7" w:rsidP="00650CB7">
      <w:pPr>
        <w:pStyle w:val="Default"/>
        <w:rPr>
          <w:b/>
          <w:bCs/>
          <w:color w:val="404040"/>
          <w:sz w:val="28"/>
          <w:szCs w:val="28"/>
        </w:rPr>
      </w:pPr>
      <w:r>
        <w:rPr>
          <w:b/>
          <w:bCs/>
          <w:color w:val="404040"/>
          <w:sz w:val="28"/>
          <w:szCs w:val="28"/>
        </w:rPr>
        <w:t>Guidance on Allowable and Unallowable Expenditures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5"/>
        <w:gridCol w:w="4498"/>
      </w:tblGrid>
      <w:tr w:rsidR="00650CB7" w:rsidTr="00426DB8">
        <w:trPr>
          <w:trHeight w:val="2996"/>
        </w:trPr>
        <w:tc>
          <w:tcPr>
            <w:tcW w:w="4485" w:type="dxa"/>
          </w:tcPr>
          <w:p w:rsidR="00426DB8" w:rsidRDefault="00650CB7">
            <w:pPr>
              <w:pStyle w:val="Default"/>
              <w:rPr>
                <w:rFonts w:ascii="Calibri" w:hAnsi="Calibri" w:cs="Calibri"/>
                <w:sz w:val="20"/>
                <w:szCs w:val="20"/>
              </w:rPr>
            </w:pPr>
            <w:r>
              <w:rPr>
                <w:b/>
                <w:bCs/>
                <w:color w:val="404040"/>
                <w:sz w:val="28"/>
                <w:szCs w:val="28"/>
              </w:rPr>
              <w:t xml:space="preserve"> </w:t>
            </w:r>
            <w:r>
              <w:rPr>
                <w:rFonts w:ascii="Calibri" w:hAnsi="Calibri" w:cs="Calibri"/>
                <w:sz w:val="20"/>
                <w:szCs w:val="20"/>
              </w:rPr>
              <w:t>Title I, Part A funds may be used to provide a wide variety of services to homeless students. In addition to providing services to assist homeless students in meeting the State’s challenging academic standards, Title I, Part A funds may be used to provide services to homeless children and youths, including those in Title I schools, that may not ordinarily be provided to other Title I students. For example, to help homeless students effectively take advantage of educational opportunities, an LEA may use Title I, Part A funds to provide, where appropriate, items or services including, but not limited to:</w:t>
            </w:r>
          </w:p>
          <w:p w:rsidR="00426DB8" w:rsidRDefault="00426DB8">
            <w:pPr>
              <w:pStyle w:val="Default"/>
              <w:rPr>
                <w:rFonts w:ascii="Calibri" w:hAnsi="Calibri" w:cs="Calibri"/>
                <w:sz w:val="20"/>
                <w:szCs w:val="20"/>
              </w:rPr>
            </w:pPr>
          </w:p>
          <w:p w:rsidR="00650CB7" w:rsidRDefault="00650CB7" w:rsidP="00426DB8">
            <w:pPr>
              <w:pStyle w:val="Default"/>
              <w:rPr>
                <w:rFonts w:ascii="Calibri" w:hAnsi="Calibri" w:cs="Calibri"/>
                <w:sz w:val="20"/>
                <w:szCs w:val="20"/>
              </w:rPr>
            </w:pPr>
            <w:r>
              <w:rPr>
                <w:rFonts w:ascii="Calibri" w:hAnsi="Calibri" w:cs="Calibri"/>
                <w:sz w:val="20"/>
                <w:szCs w:val="20"/>
              </w:rPr>
              <w:t xml:space="preserve"> </w:t>
            </w:r>
          </w:p>
        </w:tc>
        <w:tc>
          <w:tcPr>
            <w:tcW w:w="4498" w:type="dxa"/>
          </w:tcPr>
          <w:p w:rsidR="00650CB7" w:rsidRDefault="00650CB7">
            <w:pPr>
              <w:pStyle w:val="Default"/>
              <w:rPr>
                <w:rFonts w:ascii="Calibri" w:hAnsi="Calibri" w:cs="Calibri"/>
                <w:b/>
                <w:bCs/>
                <w:sz w:val="20"/>
                <w:szCs w:val="20"/>
              </w:rPr>
            </w:pPr>
            <w:r>
              <w:rPr>
                <w:rFonts w:ascii="Calibri" w:hAnsi="Calibri" w:cs="Calibri"/>
                <w:b/>
                <w:bCs/>
                <w:sz w:val="20"/>
                <w:szCs w:val="20"/>
              </w:rPr>
              <w:t xml:space="preserve">Unallowable Expenditures </w:t>
            </w:r>
          </w:p>
          <w:p w:rsidR="00650CB7" w:rsidRDefault="00650CB7">
            <w:pPr>
              <w:pStyle w:val="Default"/>
              <w:rPr>
                <w:rFonts w:ascii="Calibri" w:hAnsi="Calibri" w:cs="Calibri"/>
                <w:b/>
                <w:bCs/>
                <w:sz w:val="20"/>
                <w:szCs w:val="20"/>
              </w:rPr>
            </w:pPr>
          </w:p>
          <w:p w:rsidR="00650CB7" w:rsidRDefault="00650CB7" w:rsidP="00650CB7">
            <w:pPr>
              <w:pStyle w:val="Default"/>
              <w:numPr>
                <w:ilvl w:val="0"/>
                <w:numId w:val="3"/>
              </w:numPr>
              <w:rPr>
                <w:rFonts w:cstheme="minorBidi"/>
                <w:sz w:val="20"/>
                <w:szCs w:val="20"/>
              </w:rPr>
            </w:pPr>
            <w:r>
              <w:rPr>
                <w:rFonts w:cstheme="minorBidi"/>
                <w:sz w:val="20"/>
                <w:szCs w:val="20"/>
              </w:rPr>
              <w:t>Rent or temporary lodgings</w:t>
            </w:r>
          </w:p>
          <w:p w:rsidR="00650CB7" w:rsidRDefault="00650CB7" w:rsidP="00650CB7">
            <w:pPr>
              <w:pStyle w:val="Default"/>
              <w:numPr>
                <w:ilvl w:val="0"/>
                <w:numId w:val="3"/>
              </w:numPr>
              <w:rPr>
                <w:rFonts w:cstheme="minorBidi"/>
                <w:sz w:val="20"/>
                <w:szCs w:val="20"/>
              </w:rPr>
            </w:pPr>
            <w:r>
              <w:rPr>
                <w:rFonts w:cstheme="minorBidi"/>
                <w:sz w:val="20"/>
                <w:szCs w:val="20"/>
              </w:rPr>
              <w:t>Class ring</w:t>
            </w:r>
          </w:p>
          <w:p w:rsidR="00650CB7" w:rsidRDefault="00650CB7" w:rsidP="00650CB7">
            <w:pPr>
              <w:pStyle w:val="Default"/>
              <w:numPr>
                <w:ilvl w:val="0"/>
                <w:numId w:val="3"/>
              </w:numPr>
              <w:rPr>
                <w:rFonts w:cstheme="minorBidi"/>
                <w:sz w:val="20"/>
                <w:szCs w:val="20"/>
              </w:rPr>
            </w:pPr>
            <w:r>
              <w:rPr>
                <w:rFonts w:cstheme="minorBidi"/>
                <w:sz w:val="20"/>
                <w:szCs w:val="20"/>
              </w:rPr>
              <w:t>Cost of drivers’ test fees</w:t>
            </w:r>
          </w:p>
          <w:p w:rsidR="00650CB7" w:rsidRDefault="00650CB7" w:rsidP="00650CB7">
            <w:pPr>
              <w:pStyle w:val="Default"/>
              <w:numPr>
                <w:ilvl w:val="0"/>
                <w:numId w:val="3"/>
              </w:numPr>
              <w:rPr>
                <w:rFonts w:cstheme="minorBidi"/>
                <w:sz w:val="20"/>
                <w:szCs w:val="20"/>
              </w:rPr>
            </w:pPr>
            <w:r>
              <w:rPr>
                <w:rFonts w:cstheme="minorBidi"/>
                <w:sz w:val="20"/>
                <w:szCs w:val="20"/>
              </w:rPr>
              <w:t>Prom gowns or tuxedos</w:t>
            </w:r>
          </w:p>
          <w:p w:rsidR="00650CB7" w:rsidRDefault="00650CB7" w:rsidP="00650CB7">
            <w:pPr>
              <w:pStyle w:val="Default"/>
              <w:numPr>
                <w:ilvl w:val="0"/>
                <w:numId w:val="3"/>
              </w:numPr>
              <w:rPr>
                <w:rFonts w:cstheme="minorBidi"/>
                <w:sz w:val="20"/>
                <w:szCs w:val="20"/>
              </w:rPr>
            </w:pPr>
            <w:r>
              <w:rPr>
                <w:rFonts w:cstheme="minorBidi"/>
                <w:sz w:val="20"/>
                <w:szCs w:val="20"/>
              </w:rPr>
              <w:t>Utility bills</w:t>
            </w:r>
          </w:p>
          <w:p w:rsidR="00664E63" w:rsidRDefault="00664E63" w:rsidP="00650CB7">
            <w:pPr>
              <w:pStyle w:val="Default"/>
              <w:numPr>
                <w:ilvl w:val="0"/>
                <w:numId w:val="3"/>
              </w:numPr>
              <w:rPr>
                <w:rFonts w:cstheme="minorBidi"/>
                <w:sz w:val="20"/>
                <w:szCs w:val="20"/>
              </w:rPr>
            </w:pPr>
            <w:r>
              <w:rPr>
                <w:rFonts w:cstheme="minorBidi"/>
                <w:sz w:val="20"/>
                <w:szCs w:val="20"/>
              </w:rPr>
              <w:t>Clothing for parents</w:t>
            </w:r>
          </w:p>
          <w:p w:rsidR="00664E63" w:rsidRDefault="00664E63" w:rsidP="00650CB7">
            <w:pPr>
              <w:pStyle w:val="Default"/>
              <w:numPr>
                <w:ilvl w:val="0"/>
                <w:numId w:val="3"/>
              </w:numPr>
              <w:rPr>
                <w:rFonts w:cstheme="minorBidi"/>
                <w:sz w:val="20"/>
                <w:szCs w:val="20"/>
              </w:rPr>
            </w:pPr>
            <w:r>
              <w:rPr>
                <w:rFonts w:cstheme="minorBidi"/>
                <w:sz w:val="20"/>
                <w:szCs w:val="20"/>
              </w:rPr>
              <w:t>Furniture of any type including blow up beds</w:t>
            </w:r>
          </w:p>
          <w:p w:rsidR="00650CB7" w:rsidRDefault="00650CB7">
            <w:pPr>
              <w:pStyle w:val="Default"/>
              <w:rPr>
                <w:rFonts w:ascii="Calibri" w:hAnsi="Calibri" w:cs="Calibri"/>
                <w:sz w:val="20"/>
                <w:szCs w:val="20"/>
              </w:rPr>
            </w:pPr>
          </w:p>
        </w:tc>
      </w:tr>
      <w:tr w:rsidR="00650CB7" w:rsidTr="00426DB8">
        <w:trPr>
          <w:trHeight w:val="7659"/>
        </w:trPr>
        <w:tc>
          <w:tcPr>
            <w:tcW w:w="4485" w:type="dxa"/>
          </w:tcPr>
          <w:p w:rsidR="00650CB7" w:rsidRDefault="00426DB8">
            <w:pPr>
              <w:pStyle w:val="Default"/>
              <w:rPr>
                <w:rFonts w:ascii="Calibri" w:hAnsi="Calibri" w:cs="Calibri"/>
                <w:b/>
                <w:bCs/>
                <w:sz w:val="20"/>
                <w:szCs w:val="20"/>
              </w:rPr>
            </w:pPr>
            <w:r>
              <w:rPr>
                <w:rFonts w:ascii="Calibri" w:hAnsi="Calibri" w:cs="Calibri"/>
                <w:b/>
                <w:bCs/>
                <w:sz w:val="20"/>
                <w:szCs w:val="20"/>
              </w:rPr>
              <w:t>Allowable Expenditures</w:t>
            </w:r>
          </w:p>
          <w:p w:rsidR="00426DB8" w:rsidRDefault="00426DB8">
            <w:pPr>
              <w:pStyle w:val="Default"/>
              <w:rPr>
                <w:rFonts w:cstheme="minorBidi"/>
                <w:color w:val="auto"/>
              </w:rPr>
            </w:pPr>
          </w:p>
          <w:p w:rsidR="00650CB7" w:rsidRDefault="00650CB7" w:rsidP="00650CB7">
            <w:pPr>
              <w:pStyle w:val="Default"/>
              <w:rPr>
                <w:rFonts w:ascii="Calibri" w:hAnsi="Calibri" w:cs="Calibri"/>
                <w:sz w:val="20"/>
                <w:szCs w:val="20"/>
              </w:rPr>
            </w:pPr>
            <w:r>
              <w:rPr>
                <w:rFonts w:cstheme="minorBidi"/>
                <w:sz w:val="20"/>
                <w:szCs w:val="20"/>
              </w:rPr>
              <w:t>•</w:t>
            </w:r>
            <w:r>
              <w:rPr>
                <w:rFonts w:ascii="Calibri" w:hAnsi="Calibri" w:cs="Calibri"/>
                <w:sz w:val="20"/>
                <w:szCs w:val="20"/>
              </w:rPr>
              <w:t xml:space="preserve">Items of clothing and shoes necessary </w:t>
            </w:r>
            <w:r w:rsidR="0081487C">
              <w:rPr>
                <w:rFonts w:ascii="Calibri" w:hAnsi="Calibri" w:cs="Calibri"/>
                <w:sz w:val="20"/>
                <w:szCs w:val="20"/>
              </w:rPr>
              <w:t>for participation</w:t>
            </w:r>
            <w:r>
              <w:rPr>
                <w:rFonts w:ascii="Calibri" w:hAnsi="Calibri" w:cs="Calibri"/>
                <w:sz w:val="20"/>
                <w:szCs w:val="20"/>
              </w:rPr>
              <w:t xml:space="preserve"> in classes</w:t>
            </w:r>
          </w:p>
          <w:p w:rsidR="00650CB7" w:rsidRDefault="00650CB7" w:rsidP="00650CB7">
            <w:pPr>
              <w:pStyle w:val="Default"/>
              <w:rPr>
                <w:rFonts w:ascii="Calibri" w:hAnsi="Calibri" w:cs="Calibri"/>
                <w:sz w:val="20"/>
                <w:szCs w:val="20"/>
              </w:rPr>
            </w:pPr>
            <w:r>
              <w:rPr>
                <w:rFonts w:ascii="Calibri" w:hAnsi="Calibri" w:cs="Calibri"/>
                <w:sz w:val="20"/>
                <w:szCs w:val="20"/>
              </w:rPr>
              <w:t xml:space="preserve">•Student fees that are necessary to participate </w:t>
            </w:r>
            <w:r w:rsidR="0081487C">
              <w:rPr>
                <w:rFonts w:ascii="Calibri" w:hAnsi="Calibri" w:cs="Calibri"/>
                <w:sz w:val="20"/>
                <w:szCs w:val="20"/>
              </w:rPr>
              <w:t>in the</w:t>
            </w:r>
            <w:r>
              <w:rPr>
                <w:rFonts w:ascii="Calibri" w:hAnsi="Calibri" w:cs="Calibri"/>
                <w:sz w:val="20"/>
                <w:szCs w:val="20"/>
              </w:rPr>
              <w:t xml:space="preserve"> general education program</w:t>
            </w:r>
          </w:p>
          <w:p w:rsidR="00650CB7" w:rsidRDefault="00650CB7" w:rsidP="00650CB7">
            <w:pPr>
              <w:pStyle w:val="Default"/>
              <w:rPr>
                <w:rFonts w:ascii="Calibri" w:hAnsi="Calibri" w:cs="Calibri"/>
                <w:sz w:val="20"/>
                <w:szCs w:val="20"/>
              </w:rPr>
            </w:pPr>
            <w:r>
              <w:rPr>
                <w:rFonts w:ascii="Calibri" w:hAnsi="Calibri" w:cs="Calibri"/>
                <w:sz w:val="20"/>
                <w:szCs w:val="20"/>
              </w:rPr>
              <w:t xml:space="preserve">•Personal school supplies such as backpacks </w:t>
            </w:r>
            <w:r w:rsidR="0081487C">
              <w:rPr>
                <w:rFonts w:ascii="Calibri" w:hAnsi="Calibri" w:cs="Calibri"/>
                <w:sz w:val="20"/>
                <w:szCs w:val="20"/>
              </w:rPr>
              <w:t>and notebooks</w:t>
            </w:r>
          </w:p>
          <w:p w:rsidR="00650CB7" w:rsidRDefault="00650CB7" w:rsidP="00650CB7">
            <w:pPr>
              <w:pStyle w:val="Default"/>
              <w:rPr>
                <w:rFonts w:ascii="Calibri" w:hAnsi="Calibri" w:cs="Calibri"/>
                <w:sz w:val="20"/>
                <w:szCs w:val="20"/>
              </w:rPr>
            </w:pPr>
            <w:r>
              <w:rPr>
                <w:rFonts w:ascii="Calibri" w:hAnsi="Calibri" w:cs="Calibri"/>
                <w:sz w:val="20"/>
                <w:szCs w:val="20"/>
              </w:rPr>
              <w:t>•The acquisition of birth certificates</w:t>
            </w:r>
          </w:p>
          <w:p w:rsidR="00650CB7" w:rsidRDefault="00650CB7" w:rsidP="00650CB7">
            <w:pPr>
              <w:pStyle w:val="Default"/>
              <w:rPr>
                <w:rFonts w:ascii="Calibri" w:hAnsi="Calibri" w:cs="Calibri"/>
                <w:sz w:val="20"/>
                <w:szCs w:val="20"/>
              </w:rPr>
            </w:pPr>
            <w:r>
              <w:rPr>
                <w:rFonts w:ascii="Calibri" w:hAnsi="Calibri" w:cs="Calibri"/>
                <w:sz w:val="20"/>
                <w:szCs w:val="20"/>
              </w:rPr>
              <w:t>•Immunizations</w:t>
            </w:r>
          </w:p>
          <w:p w:rsidR="00650CB7" w:rsidRDefault="00650CB7" w:rsidP="00650CB7">
            <w:pPr>
              <w:pStyle w:val="Default"/>
              <w:rPr>
                <w:rFonts w:ascii="Calibri" w:hAnsi="Calibri" w:cs="Calibri"/>
                <w:sz w:val="20"/>
                <w:szCs w:val="20"/>
              </w:rPr>
            </w:pPr>
            <w:r>
              <w:rPr>
                <w:rFonts w:ascii="Calibri" w:hAnsi="Calibri" w:cs="Calibri"/>
                <w:sz w:val="20"/>
                <w:szCs w:val="20"/>
              </w:rPr>
              <w:t>•Food</w:t>
            </w:r>
          </w:p>
          <w:p w:rsidR="00650CB7" w:rsidRDefault="00650CB7" w:rsidP="00650CB7">
            <w:pPr>
              <w:pStyle w:val="Default"/>
              <w:rPr>
                <w:rFonts w:ascii="Calibri" w:hAnsi="Calibri" w:cs="Calibri"/>
                <w:sz w:val="20"/>
                <w:szCs w:val="20"/>
              </w:rPr>
            </w:pPr>
            <w:r>
              <w:rPr>
                <w:rFonts w:ascii="Calibri" w:hAnsi="Calibri" w:cs="Calibri"/>
                <w:sz w:val="20"/>
                <w:szCs w:val="20"/>
              </w:rPr>
              <w:t>•Medical and dental services</w:t>
            </w:r>
          </w:p>
          <w:p w:rsidR="00650CB7" w:rsidRDefault="00650CB7" w:rsidP="00650CB7">
            <w:pPr>
              <w:pStyle w:val="Default"/>
              <w:rPr>
                <w:rFonts w:ascii="Calibri" w:hAnsi="Calibri" w:cs="Calibri"/>
                <w:sz w:val="20"/>
                <w:szCs w:val="20"/>
              </w:rPr>
            </w:pPr>
            <w:r>
              <w:rPr>
                <w:rFonts w:ascii="Calibri" w:hAnsi="Calibri" w:cs="Calibri"/>
                <w:sz w:val="20"/>
                <w:szCs w:val="20"/>
              </w:rPr>
              <w:t>•Eyeglasses and hearing aids</w:t>
            </w:r>
          </w:p>
          <w:p w:rsidR="00650CB7" w:rsidRDefault="00650CB7" w:rsidP="00650CB7">
            <w:pPr>
              <w:pStyle w:val="Default"/>
              <w:rPr>
                <w:rFonts w:ascii="Calibri" w:hAnsi="Calibri" w:cs="Calibri"/>
                <w:sz w:val="20"/>
                <w:szCs w:val="20"/>
              </w:rPr>
            </w:pPr>
            <w:r>
              <w:rPr>
                <w:rFonts w:ascii="Calibri" w:hAnsi="Calibri" w:cs="Calibri"/>
                <w:sz w:val="20"/>
                <w:szCs w:val="20"/>
              </w:rPr>
              <w:t xml:space="preserve">•Counseling services related to homeless </w:t>
            </w:r>
            <w:r w:rsidR="0081487C">
              <w:rPr>
                <w:rFonts w:ascii="Calibri" w:hAnsi="Calibri" w:cs="Calibri"/>
                <w:sz w:val="20"/>
                <w:szCs w:val="20"/>
              </w:rPr>
              <w:t>issues that</w:t>
            </w:r>
            <w:r>
              <w:rPr>
                <w:rFonts w:ascii="Calibri" w:hAnsi="Calibri" w:cs="Calibri"/>
                <w:sz w:val="20"/>
                <w:szCs w:val="20"/>
              </w:rPr>
              <w:t xml:space="preserve"> are impeding learning</w:t>
            </w:r>
          </w:p>
          <w:p w:rsidR="00650CB7" w:rsidRDefault="00650CB7" w:rsidP="00650CB7">
            <w:pPr>
              <w:pStyle w:val="Default"/>
              <w:rPr>
                <w:rFonts w:ascii="Calibri" w:hAnsi="Calibri" w:cs="Calibri"/>
                <w:sz w:val="20"/>
                <w:szCs w:val="20"/>
              </w:rPr>
            </w:pPr>
            <w:r>
              <w:rPr>
                <w:rFonts w:ascii="Calibri" w:hAnsi="Calibri" w:cs="Calibri"/>
                <w:sz w:val="20"/>
                <w:szCs w:val="20"/>
              </w:rPr>
              <w:t>•Outreach services</w:t>
            </w:r>
          </w:p>
          <w:p w:rsidR="00650CB7" w:rsidRDefault="00650CB7" w:rsidP="00650CB7">
            <w:pPr>
              <w:pStyle w:val="Default"/>
              <w:rPr>
                <w:rFonts w:ascii="Calibri" w:hAnsi="Calibri" w:cs="Calibri"/>
                <w:sz w:val="20"/>
                <w:szCs w:val="20"/>
              </w:rPr>
            </w:pPr>
            <w:r>
              <w:rPr>
                <w:rFonts w:ascii="Calibri" w:hAnsi="Calibri" w:cs="Calibri"/>
                <w:sz w:val="20"/>
                <w:szCs w:val="20"/>
              </w:rPr>
              <w:t xml:space="preserve">•Extended learning time (before and </w:t>
            </w:r>
            <w:r w:rsidR="0081487C">
              <w:rPr>
                <w:rFonts w:ascii="Calibri" w:hAnsi="Calibri" w:cs="Calibri"/>
                <w:sz w:val="20"/>
                <w:szCs w:val="20"/>
              </w:rPr>
              <w:t>after school</w:t>
            </w:r>
            <w:r>
              <w:rPr>
                <w:rFonts w:ascii="Calibri" w:hAnsi="Calibri" w:cs="Calibri"/>
                <w:sz w:val="20"/>
                <w:szCs w:val="20"/>
              </w:rPr>
              <w:t>, Saturday, summer)</w:t>
            </w:r>
          </w:p>
          <w:p w:rsidR="00650CB7" w:rsidRDefault="00650CB7" w:rsidP="00650CB7">
            <w:pPr>
              <w:pStyle w:val="Default"/>
              <w:rPr>
                <w:rFonts w:ascii="Calibri" w:hAnsi="Calibri" w:cs="Calibri"/>
                <w:sz w:val="20"/>
                <w:szCs w:val="20"/>
              </w:rPr>
            </w:pPr>
            <w:r>
              <w:rPr>
                <w:rFonts w:ascii="Calibri" w:hAnsi="Calibri" w:cs="Calibri"/>
                <w:sz w:val="20"/>
                <w:szCs w:val="20"/>
              </w:rPr>
              <w:t>•Extra-curricular activity fees</w:t>
            </w:r>
          </w:p>
          <w:p w:rsidR="00650CB7" w:rsidRDefault="00650CB7" w:rsidP="00650CB7">
            <w:pPr>
              <w:pStyle w:val="Default"/>
              <w:rPr>
                <w:rFonts w:ascii="Calibri" w:hAnsi="Calibri" w:cs="Calibri"/>
                <w:sz w:val="20"/>
                <w:szCs w:val="20"/>
              </w:rPr>
            </w:pPr>
            <w:r>
              <w:rPr>
                <w:rFonts w:ascii="Calibri" w:hAnsi="Calibri" w:cs="Calibri"/>
                <w:sz w:val="20"/>
                <w:szCs w:val="20"/>
              </w:rPr>
              <w:t xml:space="preserve">•Tutoring services, especially in shelters or </w:t>
            </w:r>
            <w:r w:rsidR="0081487C">
              <w:rPr>
                <w:rFonts w:ascii="Calibri" w:hAnsi="Calibri" w:cs="Calibri"/>
                <w:sz w:val="20"/>
                <w:szCs w:val="20"/>
              </w:rPr>
              <w:t>other locations</w:t>
            </w:r>
            <w:r>
              <w:rPr>
                <w:rFonts w:ascii="Calibri" w:hAnsi="Calibri" w:cs="Calibri"/>
                <w:sz w:val="20"/>
                <w:szCs w:val="20"/>
              </w:rPr>
              <w:t xml:space="preserve"> where homeless students are residing</w:t>
            </w:r>
          </w:p>
          <w:p w:rsidR="00650CB7" w:rsidRDefault="00650CB7" w:rsidP="00650CB7">
            <w:pPr>
              <w:pStyle w:val="Default"/>
              <w:rPr>
                <w:rFonts w:ascii="Calibri" w:hAnsi="Calibri" w:cs="Calibri"/>
                <w:sz w:val="20"/>
                <w:szCs w:val="20"/>
              </w:rPr>
            </w:pPr>
            <w:r>
              <w:rPr>
                <w:rFonts w:ascii="Calibri" w:hAnsi="Calibri" w:cs="Calibri"/>
                <w:sz w:val="20"/>
                <w:szCs w:val="20"/>
              </w:rPr>
              <w:t>•Parental involvement</w:t>
            </w:r>
          </w:p>
          <w:p w:rsidR="00650CB7" w:rsidRDefault="00650CB7" w:rsidP="00650CB7">
            <w:pPr>
              <w:pStyle w:val="Default"/>
              <w:rPr>
                <w:rFonts w:ascii="Calibri" w:hAnsi="Calibri" w:cs="Calibri"/>
                <w:sz w:val="20"/>
                <w:szCs w:val="20"/>
              </w:rPr>
            </w:pPr>
            <w:r>
              <w:rPr>
                <w:rFonts w:ascii="Calibri" w:hAnsi="Calibri" w:cs="Calibri"/>
                <w:sz w:val="20"/>
                <w:szCs w:val="20"/>
              </w:rPr>
              <w:t>•Fees for AP, IB, SAT/ACT, GED testing (</w:t>
            </w:r>
            <w:r w:rsidR="0081487C">
              <w:rPr>
                <w:rFonts w:ascii="Calibri" w:hAnsi="Calibri" w:cs="Calibri"/>
                <w:sz w:val="20"/>
                <w:szCs w:val="20"/>
              </w:rPr>
              <w:t>for students</w:t>
            </w:r>
            <w:r>
              <w:rPr>
                <w:rFonts w:ascii="Calibri" w:hAnsi="Calibri" w:cs="Calibri"/>
                <w:sz w:val="20"/>
                <w:szCs w:val="20"/>
              </w:rPr>
              <w:t>’ ineligible for the waiver)</w:t>
            </w:r>
          </w:p>
          <w:p w:rsidR="00650CB7" w:rsidRDefault="00650CB7" w:rsidP="00650CB7">
            <w:pPr>
              <w:pStyle w:val="Default"/>
              <w:rPr>
                <w:rFonts w:ascii="Calibri" w:hAnsi="Calibri" w:cs="Calibri"/>
                <w:sz w:val="20"/>
                <w:szCs w:val="20"/>
              </w:rPr>
            </w:pPr>
            <w:r>
              <w:rPr>
                <w:rFonts w:ascii="Calibri" w:hAnsi="Calibri" w:cs="Calibri"/>
                <w:sz w:val="20"/>
                <w:szCs w:val="20"/>
              </w:rPr>
              <w:t>•College Entrance Exam Fees</w:t>
            </w:r>
          </w:p>
          <w:p w:rsidR="00650CB7" w:rsidRDefault="00650CB7" w:rsidP="00650CB7">
            <w:pPr>
              <w:pStyle w:val="Default"/>
              <w:rPr>
                <w:rFonts w:ascii="Calibri" w:hAnsi="Calibri" w:cs="Calibri"/>
                <w:sz w:val="20"/>
                <w:szCs w:val="20"/>
              </w:rPr>
            </w:pPr>
            <w:r>
              <w:rPr>
                <w:rFonts w:ascii="Calibri" w:hAnsi="Calibri" w:cs="Calibri"/>
                <w:sz w:val="20"/>
                <w:szCs w:val="20"/>
              </w:rPr>
              <w:t xml:space="preserve">•Fund all or part of the homeless liaison's </w:t>
            </w:r>
            <w:r w:rsidR="0081487C">
              <w:rPr>
                <w:rFonts w:ascii="Calibri" w:hAnsi="Calibri" w:cs="Calibri"/>
                <w:sz w:val="20"/>
                <w:szCs w:val="20"/>
              </w:rPr>
              <w:t>salary even</w:t>
            </w:r>
            <w:r>
              <w:rPr>
                <w:rFonts w:ascii="Calibri" w:hAnsi="Calibri" w:cs="Calibri"/>
                <w:sz w:val="20"/>
                <w:szCs w:val="20"/>
              </w:rPr>
              <w:t xml:space="preserve"> if that person has no Title I duties.</w:t>
            </w:r>
          </w:p>
          <w:p w:rsidR="00650CB7" w:rsidRDefault="00650CB7" w:rsidP="00650CB7">
            <w:pPr>
              <w:pStyle w:val="Default"/>
              <w:rPr>
                <w:rFonts w:ascii="Calibri" w:hAnsi="Calibri" w:cs="Calibri"/>
                <w:sz w:val="20"/>
                <w:szCs w:val="20"/>
              </w:rPr>
            </w:pPr>
            <w:r>
              <w:rPr>
                <w:rFonts w:ascii="Calibri" w:hAnsi="Calibri" w:cs="Calibri"/>
                <w:sz w:val="20"/>
                <w:szCs w:val="20"/>
              </w:rPr>
              <w:t xml:space="preserve">•Transporting students in temporary housing </w:t>
            </w:r>
            <w:r w:rsidR="0081487C">
              <w:rPr>
                <w:rFonts w:ascii="Calibri" w:hAnsi="Calibri" w:cs="Calibri"/>
                <w:sz w:val="20"/>
                <w:szCs w:val="20"/>
              </w:rPr>
              <w:t>to and</w:t>
            </w:r>
            <w:r>
              <w:rPr>
                <w:rFonts w:ascii="Calibri" w:hAnsi="Calibri" w:cs="Calibri"/>
                <w:sz w:val="20"/>
                <w:szCs w:val="20"/>
              </w:rPr>
              <w:t xml:space="preserve"> from their school of origin. Title I funds </w:t>
            </w:r>
            <w:r w:rsidR="0081487C">
              <w:rPr>
                <w:rFonts w:ascii="Calibri" w:hAnsi="Calibri" w:cs="Calibri"/>
                <w:sz w:val="20"/>
                <w:szCs w:val="20"/>
              </w:rPr>
              <w:t>may not</w:t>
            </w:r>
            <w:r>
              <w:rPr>
                <w:rFonts w:ascii="Calibri" w:hAnsi="Calibri" w:cs="Calibri"/>
                <w:sz w:val="20"/>
                <w:szCs w:val="20"/>
              </w:rPr>
              <w:t xml:space="preserve">, however, be used to pay for </w:t>
            </w:r>
            <w:r w:rsidR="0081487C">
              <w:rPr>
                <w:rFonts w:ascii="Calibri" w:hAnsi="Calibri" w:cs="Calibri"/>
                <w:sz w:val="20"/>
                <w:szCs w:val="20"/>
              </w:rPr>
              <w:t>transportation expenses</w:t>
            </w:r>
            <w:bookmarkStart w:id="0" w:name="_GoBack"/>
            <w:bookmarkEnd w:id="0"/>
            <w:r>
              <w:rPr>
                <w:rFonts w:ascii="Calibri" w:hAnsi="Calibri" w:cs="Calibri"/>
                <w:sz w:val="20"/>
                <w:szCs w:val="20"/>
              </w:rPr>
              <w:t xml:space="preserve"> that are reimbursed by the State.</w:t>
            </w:r>
          </w:p>
          <w:p w:rsidR="00650CB7" w:rsidRDefault="00650CB7">
            <w:pPr>
              <w:pStyle w:val="Default"/>
              <w:rPr>
                <w:rFonts w:ascii="Calibri" w:hAnsi="Calibri" w:cs="Calibri"/>
                <w:sz w:val="20"/>
                <w:szCs w:val="20"/>
              </w:rPr>
            </w:pPr>
          </w:p>
        </w:tc>
        <w:tc>
          <w:tcPr>
            <w:tcW w:w="4498" w:type="dxa"/>
          </w:tcPr>
          <w:p w:rsidR="00650CB7" w:rsidRDefault="00650CB7">
            <w:pPr>
              <w:pStyle w:val="Default"/>
              <w:rPr>
                <w:rFonts w:cstheme="minorBidi"/>
                <w:color w:val="auto"/>
              </w:rPr>
            </w:pPr>
          </w:p>
          <w:p w:rsidR="00650CB7" w:rsidRDefault="00650CB7" w:rsidP="00650CB7">
            <w:pPr>
              <w:pStyle w:val="Default"/>
              <w:rPr>
                <w:rFonts w:ascii="Calibri" w:hAnsi="Calibri" w:cs="Calibri"/>
                <w:sz w:val="20"/>
                <w:szCs w:val="20"/>
              </w:rPr>
            </w:pPr>
            <w:r>
              <w:rPr>
                <w:rFonts w:ascii="Calibri" w:hAnsi="Calibri" w:cs="Calibri"/>
                <w:b/>
                <w:bCs/>
                <w:sz w:val="20"/>
                <w:szCs w:val="20"/>
              </w:rPr>
              <w:t>Note</w:t>
            </w:r>
            <w:r>
              <w:rPr>
                <w:rFonts w:ascii="Calibri" w:hAnsi="Calibri" w:cs="Calibri"/>
                <w:sz w:val="20"/>
                <w:szCs w:val="20"/>
              </w:rPr>
              <w:t>: Two principles govern the use of Title I, Part A funds to provide services to homeless students.</w:t>
            </w:r>
          </w:p>
          <w:p w:rsidR="00650CB7" w:rsidRDefault="00650CB7" w:rsidP="00650CB7">
            <w:pPr>
              <w:pStyle w:val="Default"/>
              <w:rPr>
                <w:sz w:val="20"/>
                <w:szCs w:val="20"/>
              </w:rPr>
            </w:pPr>
            <w:r>
              <w:rPr>
                <w:rFonts w:ascii="Calibri" w:hAnsi="Calibri" w:cs="Calibri"/>
                <w:sz w:val="20"/>
                <w:szCs w:val="20"/>
              </w:rPr>
              <w:t xml:space="preserve"> </w:t>
            </w:r>
          </w:p>
          <w:p w:rsidR="00650CB7" w:rsidRPr="00650CB7" w:rsidRDefault="00650CB7" w:rsidP="00650CB7">
            <w:pPr>
              <w:pStyle w:val="Default"/>
              <w:numPr>
                <w:ilvl w:val="0"/>
                <w:numId w:val="4"/>
              </w:numPr>
              <w:rPr>
                <w:sz w:val="20"/>
                <w:szCs w:val="20"/>
              </w:rPr>
            </w:pPr>
            <w:r>
              <w:rPr>
                <w:rFonts w:ascii="Calibri" w:hAnsi="Calibri" w:cs="Calibri"/>
                <w:sz w:val="20"/>
                <w:szCs w:val="20"/>
              </w:rPr>
              <w:t xml:space="preserve">First, the services must be reasonable and necessary to assist homeless students to take advantage of educational opportunities. </w:t>
            </w:r>
          </w:p>
          <w:p w:rsidR="00650CB7" w:rsidRDefault="00650CB7" w:rsidP="00650CB7">
            <w:pPr>
              <w:pStyle w:val="Default"/>
              <w:ind w:left="720"/>
              <w:rPr>
                <w:sz w:val="20"/>
                <w:szCs w:val="20"/>
              </w:rPr>
            </w:pPr>
          </w:p>
          <w:p w:rsidR="00650CB7" w:rsidRDefault="00650CB7" w:rsidP="00650CB7">
            <w:pPr>
              <w:pStyle w:val="Default"/>
              <w:numPr>
                <w:ilvl w:val="0"/>
                <w:numId w:val="4"/>
              </w:numPr>
              <w:rPr>
                <w:sz w:val="20"/>
                <w:szCs w:val="20"/>
              </w:rPr>
            </w:pPr>
            <w:r>
              <w:rPr>
                <w:rFonts w:ascii="Calibri" w:hAnsi="Calibri" w:cs="Calibri"/>
                <w:sz w:val="20"/>
                <w:szCs w:val="20"/>
              </w:rPr>
              <w:t xml:space="preserve">Second, Title I, Part A funds must be used only as a last resort when funds or services are not available from other public or private sources, such as public health clinics, or local discretionary funds (sometimes provided by the PTA) used to provide similar services for economically disadvantaged students </w:t>
            </w:r>
          </w:p>
          <w:p w:rsidR="00650CB7" w:rsidRDefault="00650CB7">
            <w:pPr>
              <w:pStyle w:val="Default"/>
              <w:rPr>
                <w:sz w:val="20"/>
                <w:szCs w:val="20"/>
              </w:rPr>
            </w:pPr>
          </w:p>
        </w:tc>
      </w:tr>
    </w:tbl>
    <w:p w:rsidR="00F57893" w:rsidRDefault="00F57893"/>
    <w:sectPr w:rsidR="00F578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E80" w:rsidRDefault="00433E80" w:rsidP="00426DB8">
      <w:pPr>
        <w:spacing w:line="240" w:lineRule="auto"/>
      </w:pPr>
      <w:r>
        <w:separator/>
      </w:r>
    </w:p>
  </w:endnote>
  <w:endnote w:type="continuationSeparator" w:id="0">
    <w:p w:rsidR="00433E80" w:rsidRDefault="00433E80" w:rsidP="00426D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E80" w:rsidRDefault="00433E80" w:rsidP="00426DB8">
      <w:pPr>
        <w:spacing w:line="240" w:lineRule="auto"/>
      </w:pPr>
      <w:r>
        <w:separator/>
      </w:r>
    </w:p>
  </w:footnote>
  <w:footnote w:type="continuationSeparator" w:id="0">
    <w:p w:rsidR="00433E80" w:rsidRDefault="00433E80" w:rsidP="00426D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1AB8F"/>
    <w:multiLevelType w:val="hybridMultilevel"/>
    <w:tmpl w:val="B1BBDE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8E05671"/>
    <w:multiLevelType w:val="hybridMultilevel"/>
    <w:tmpl w:val="CAC20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73D221"/>
    <w:multiLevelType w:val="hybridMultilevel"/>
    <w:tmpl w:val="CF4B13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58A0F64"/>
    <w:multiLevelType w:val="hybridMultilevel"/>
    <w:tmpl w:val="1F12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CB7"/>
    <w:rsid w:val="00426DB8"/>
    <w:rsid w:val="00433E80"/>
    <w:rsid w:val="004A7E10"/>
    <w:rsid w:val="00650CB7"/>
    <w:rsid w:val="00664E63"/>
    <w:rsid w:val="007F1254"/>
    <w:rsid w:val="0081487C"/>
    <w:rsid w:val="00870AE8"/>
    <w:rsid w:val="009B7FD1"/>
    <w:rsid w:val="00F5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B628C-63A1-485E-97B6-96464658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0CB7"/>
    <w:pPr>
      <w:autoSpaceDE w:val="0"/>
      <w:autoSpaceDN w:val="0"/>
      <w:adjustRightInd w:val="0"/>
      <w:spacing w:line="240" w:lineRule="auto"/>
    </w:pPr>
    <w:rPr>
      <w:rFonts w:ascii="Cambria" w:hAnsi="Cambria" w:cs="Cambria"/>
      <w:color w:val="000000"/>
      <w:szCs w:val="24"/>
    </w:rPr>
  </w:style>
  <w:style w:type="paragraph" w:styleId="Header">
    <w:name w:val="header"/>
    <w:basedOn w:val="Normal"/>
    <w:link w:val="HeaderChar"/>
    <w:uiPriority w:val="99"/>
    <w:unhideWhenUsed/>
    <w:rsid w:val="00426DB8"/>
    <w:pPr>
      <w:tabs>
        <w:tab w:val="center" w:pos="4680"/>
        <w:tab w:val="right" w:pos="9360"/>
      </w:tabs>
      <w:spacing w:line="240" w:lineRule="auto"/>
    </w:pPr>
  </w:style>
  <w:style w:type="character" w:customStyle="1" w:styleId="HeaderChar">
    <w:name w:val="Header Char"/>
    <w:basedOn w:val="DefaultParagraphFont"/>
    <w:link w:val="Header"/>
    <w:uiPriority w:val="99"/>
    <w:rsid w:val="00426DB8"/>
  </w:style>
  <w:style w:type="paragraph" w:styleId="Footer">
    <w:name w:val="footer"/>
    <w:basedOn w:val="Normal"/>
    <w:link w:val="FooterChar"/>
    <w:uiPriority w:val="99"/>
    <w:unhideWhenUsed/>
    <w:rsid w:val="00426DB8"/>
    <w:pPr>
      <w:tabs>
        <w:tab w:val="center" w:pos="4680"/>
        <w:tab w:val="right" w:pos="9360"/>
      </w:tabs>
      <w:spacing w:line="240" w:lineRule="auto"/>
    </w:pPr>
  </w:style>
  <w:style w:type="character" w:customStyle="1" w:styleId="FooterChar">
    <w:name w:val="Footer Char"/>
    <w:basedOn w:val="DefaultParagraphFont"/>
    <w:link w:val="Footer"/>
    <w:uiPriority w:val="99"/>
    <w:rsid w:val="00426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Davis (ADE)</dc:creator>
  <cp:keywords/>
  <dc:description/>
  <cp:lastModifiedBy>Jayne Green (ADE)</cp:lastModifiedBy>
  <cp:revision>2</cp:revision>
  <dcterms:created xsi:type="dcterms:W3CDTF">2019-10-02T14:45:00Z</dcterms:created>
  <dcterms:modified xsi:type="dcterms:W3CDTF">2019-10-02T14:45:00Z</dcterms:modified>
</cp:coreProperties>
</file>