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EE9A3" w14:textId="77777777" w:rsidR="0020713D" w:rsidRDefault="0000458B">
      <w:r>
        <w:rPr>
          <w:noProof/>
        </w:rPr>
        <w:drawing>
          <wp:inline distT="114300" distB="114300" distL="114300" distR="114300" wp14:anchorId="183FCA61" wp14:editId="6243ADFF">
            <wp:extent cx="2926080" cy="71736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926080" cy="717362"/>
                    </a:xfrm>
                    <a:prstGeom prst="rect">
                      <a:avLst/>
                    </a:prstGeom>
                    <a:ln/>
                  </pic:spPr>
                </pic:pic>
              </a:graphicData>
            </a:graphic>
          </wp:inline>
        </w:drawing>
      </w:r>
    </w:p>
    <w:p w14:paraId="24D5F99E" w14:textId="77777777" w:rsidR="0020713D" w:rsidRDefault="0020713D">
      <w:pPr>
        <w:jc w:val="center"/>
        <w:rPr>
          <w:rFonts w:ascii="Roboto Slab" w:eastAsia="Roboto Slab" w:hAnsi="Roboto Slab" w:cs="Roboto Slab"/>
          <w:b/>
          <w:sz w:val="24"/>
          <w:szCs w:val="24"/>
        </w:rPr>
      </w:pPr>
    </w:p>
    <w:p w14:paraId="3FD5EF5A" w14:textId="77777777" w:rsidR="0020713D" w:rsidRDefault="0000458B">
      <w:pPr>
        <w:jc w:val="center"/>
        <w:rPr>
          <w:rFonts w:ascii="Roboto Slab" w:eastAsia="Roboto Slab" w:hAnsi="Roboto Slab" w:cs="Roboto Slab"/>
          <w:b/>
          <w:sz w:val="24"/>
          <w:szCs w:val="24"/>
        </w:rPr>
      </w:pPr>
      <w:r>
        <w:rPr>
          <w:rFonts w:ascii="Roboto Slab" w:eastAsia="Roboto Slab" w:hAnsi="Roboto Slab" w:cs="Roboto Slab"/>
          <w:b/>
          <w:sz w:val="24"/>
          <w:szCs w:val="24"/>
        </w:rPr>
        <w:t>Early Career Professional Mentoring Program</w:t>
      </w:r>
    </w:p>
    <w:p w14:paraId="0D4C1814" w14:textId="77777777" w:rsidR="0020713D" w:rsidRDefault="0000458B">
      <w:pPr>
        <w:jc w:val="center"/>
        <w:rPr>
          <w:rFonts w:ascii="Roboto Slab" w:eastAsia="Roboto Slab" w:hAnsi="Roboto Slab" w:cs="Roboto Slab"/>
          <w:b/>
          <w:i/>
          <w:sz w:val="24"/>
          <w:szCs w:val="24"/>
        </w:rPr>
      </w:pPr>
      <w:r>
        <w:rPr>
          <w:rFonts w:ascii="Roboto Slab" w:eastAsia="Roboto Slab" w:hAnsi="Roboto Slab" w:cs="Roboto Slab"/>
          <w:b/>
          <w:i/>
          <w:sz w:val="24"/>
          <w:szCs w:val="24"/>
        </w:rPr>
        <w:t>Frequently Asked Questions (FAQs)</w:t>
      </w:r>
    </w:p>
    <w:p w14:paraId="3B447C93" w14:textId="77777777" w:rsidR="0020713D" w:rsidRDefault="0020713D">
      <w:pPr>
        <w:jc w:val="center"/>
        <w:rPr>
          <w:rFonts w:ascii="Roboto Slab" w:eastAsia="Roboto Slab" w:hAnsi="Roboto Slab" w:cs="Roboto Slab"/>
          <w:b/>
        </w:rPr>
      </w:pPr>
    </w:p>
    <w:p w14:paraId="4D6BEDEA" w14:textId="77777777" w:rsidR="0020713D" w:rsidRDefault="0020713D">
      <w:pPr>
        <w:jc w:val="center"/>
        <w:rPr>
          <w:rFonts w:ascii="Roboto Slab" w:eastAsia="Roboto Slab" w:hAnsi="Roboto Slab" w:cs="Roboto Slab"/>
          <w:b/>
        </w:rPr>
      </w:pPr>
    </w:p>
    <w:p w14:paraId="40931408" w14:textId="77777777" w:rsidR="0020713D" w:rsidRDefault="0000458B">
      <w:pPr>
        <w:rPr>
          <w:rFonts w:ascii="Roboto Slab" w:eastAsia="Roboto Slab" w:hAnsi="Roboto Slab" w:cs="Roboto Slab"/>
          <w:b/>
        </w:rPr>
      </w:pPr>
      <w:r>
        <w:rPr>
          <w:rFonts w:ascii="Roboto Slab" w:eastAsia="Roboto Slab" w:hAnsi="Roboto Slab" w:cs="Roboto Slab"/>
          <w:b/>
        </w:rPr>
        <w:t>Q1</w:t>
      </w:r>
      <w:r>
        <w:rPr>
          <w:rFonts w:ascii="Roboto Slab" w:eastAsia="Roboto Slab" w:hAnsi="Roboto Slab" w:cs="Roboto Slab"/>
          <w:b/>
        </w:rPr>
        <w:tab/>
        <w:t>What is Arkansas’ early career professional teacher mentoring process?</w:t>
      </w:r>
    </w:p>
    <w:p w14:paraId="65745191" w14:textId="77777777" w:rsidR="0020713D" w:rsidRDefault="0000458B">
      <w:pPr>
        <w:ind w:left="720"/>
        <w:rPr>
          <w:rFonts w:ascii="Roboto Slab" w:eastAsia="Roboto Slab" w:hAnsi="Roboto Slab" w:cs="Roboto Slab"/>
          <w:color w:val="606F78"/>
        </w:rPr>
      </w:pPr>
      <w:r>
        <w:rPr>
          <w:rFonts w:ascii="Roboto Slab" w:eastAsia="Roboto Slab" w:hAnsi="Roboto Slab" w:cs="Roboto Slab"/>
          <w:color w:val="606F78"/>
        </w:rPr>
        <w:t xml:space="preserve">Arkansas annotated law A.C.A </w:t>
      </w:r>
      <w:r>
        <w:rPr>
          <w:color w:val="606F78"/>
          <w:highlight w:val="white"/>
        </w:rPr>
        <w:t>§</w:t>
      </w:r>
      <w:r>
        <w:rPr>
          <w:rFonts w:ascii="Roboto Slab" w:eastAsia="Roboto Slab" w:hAnsi="Roboto Slab" w:cs="Roboto Slab"/>
          <w:color w:val="606F78"/>
        </w:rPr>
        <w:t xml:space="preserve">  6-17-2806 (d)(1-3) ; ACT 295 of 2017; and the </w:t>
      </w:r>
      <w:hyperlink r:id="rId7">
        <w:r>
          <w:rPr>
            <w:rFonts w:ascii="Roboto Slab" w:eastAsia="Roboto Slab" w:hAnsi="Roboto Slab" w:cs="Roboto Slab"/>
            <w:color w:val="1155CC"/>
            <w:u w:val="single"/>
          </w:rPr>
          <w:t>R</w:t>
        </w:r>
      </w:hyperlink>
      <w:hyperlink r:id="rId8">
        <w:r>
          <w:rPr>
            <w:rFonts w:ascii="Roboto Slab" w:eastAsia="Roboto Slab" w:hAnsi="Roboto Slab" w:cs="Roboto Slab"/>
            <w:color w:val="1155CC"/>
            <w:u w:val="single"/>
          </w:rPr>
          <w:t xml:space="preserve">ules </w:t>
        </w:r>
      </w:hyperlink>
      <w:hyperlink r:id="rId9">
        <w:r>
          <w:rPr>
            <w:rFonts w:ascii="Roboto Slab" w:eastAsia="Roboto Slab" w:hAnsi="Roboto Slab" w:cs="Roboto Slab"/>
            <w:color w:val="1155CC"/>
            <w:u w:val="single"/>
          </w:rPr>
          <w:t>Governing Educator Support and Development</w:t>
        </w:r>
      </w:hyperlink>
      <w:r>
        <w:rPr>
          <w:rFonts w:ascii="Roboto Slab" w:eastAsia="Roboto Slab" w:hAnsi="Roboto Slab" w:cs="Roboto Slab"/>
          <w:color w:val="606F78"/>
        </w:rPr>
        <w:t xml:space="preserve"> provide the state required guidelines.  </w:t>
      </w:r>
    </w:p>
    <w:p w14:paraId="3A6A1FA3" w14:textId="77777777" w:rsidR="0020713D" w:rsidRDefault="0020713D">
      <w:pPr>
        <w:ind w:left="720"/>
        <w:rPr>
          <w:rFonts w:ascii="Roboto Slab" w:eastAsia="Roboto Slab" w:hAnsi="Roboto Slab" w:cs="Roboto Slab"/>
          <w:color w:val="606F78"/>
        </w:rPr>
      </w:pPr>
    </w:p>
    <w:p w14:paraId="144C82A4" w14:textId="77777777" w:rsidR="0020713D" w:rsidRDefault="0020713D">
      <w:pPr>
        <w:rPr>
          <w:rFonts w:ascii="Roboto Slab" w:eastAsia="Roboto Slab" w:hAnsi="Roboto Slab" w:cs="Roboto Slab"/>
          <w:b/>
        </w:rPr>
      </w:pPr>
    </w:p>
    <w:p w14:paraId="563C798F" w14:textId="77777777" w:rsidR="0020713D" w:rsidRDefault="0000458B">
      <w:pPr>
        <w:rPr>
          <w:rFonts w:ascii="Roboto Slab" w:eastAsia="Roboto Slab" w:hAnsi="Roboto Slab" w:cs="Roboto Slab"/>
          <w:b/>
        </w:rPr>
      </w:pPr>
      <w:r>
        <w:rPr>
          <w:rFonts w:ascii="Roboto Slab" w:eastAsia="Roboto Slab" w:hAnsi="Roboto Slab" w:cs="Roboto Slab"/>
          <w:b/>
        </w:rPr>
        <w:t>Q2</w:t>
      </w:r>
      <w:r>
        <w:rPr>
          <w:rFonts w:ascii="Roboto Slab" w:eastAsia="Roboto Slab" w:hAnsi="Roboto Slab" w:cs="Roboto Slab"/>
          <w:b/>
        </w:rPr>
        <w:tab/>
        <w:t xml:space="preserve">What is the definition of an early career professional?  </w:t>
      </w:r>
    </w:p>
    <w:p w14:paraId="691054B0" w14:textId="1B31E6F5" w:rsidR="0020713D" w:rsidRDefault="0000458B">
      <w:pPr>
        <w:ind w:left="720"/>
        <w:rPr>
          <w:rFonts w:ascii="Roboto Slab" w:eastAsia="Roboto Slab" w:hAnsi="Roboto Slab" w:cs="Roboto Slab"/>
          <w:color w:val="606F78"/>
        </w:rPr>
      </w:pPr>
      <w:r>
        <w:rPr>
          <w:rFonts w:ascii="Roboto Slab" w:eastAsia="Roboto Slab" w:hAnsi="Roboto Slab" w:cs="Roboto Slab"/>
          <w:color w:val="606F78"/>
        </w:rPr>
        <w:t xml:space="preserve">Any teacher with less than three (3) years of classroom teaching experience who has a provisional license, standard license, or technical permit. Individuals teaching </w:t>
      </w:r>
      <w:r w:rsidR="009F5353">
        <w:rPr>
          <w:rFonts w:ascii="Roboto Slab" w:eastAsia="Roboto Slab" w:hAnsi="Roboto Slab" w:cs="Roboto Slab"/>
          <w:color w:val="606F78"/>
        </w:rPr>
        <w:t xml:space="preserve">under a licensure exception may </w:t>
      </w:r>
      <w:r>
        <w:rPr>
          <w:rFonts w:ascii="Roboto Slab" w:eastAsia="Roboto Slab" w:hAnsi="Roboto Slab" w:cs="Roboto Slab"/>
          <w:color w:val="606F78"/>
        </w:rPr>
        <w:t xml:space="preserve">receive mentoring, but they are not considered early career professionals until they enter the Arkansas teacher pipeline as a licensed teacher. </w:t>
      </w:r>
    </w:p>
    <w:p w14:paraId="328DD9CD" w14:textId="77777777" w:rsidR="0020713D" w:rsidRDefault="0020713D">
      <w:pPr>
        <w:ind w:left="720"/>
        <w:rPr>
          <w:rFonts w:ascii="Roboto Slab" w:eastAsia="Roboto Slab" w:hAnsi="Roboto Slab" w:cs="Roboto Slab"/>
          <w:b/>
        </w:rPr>
      </w:pPr>
    </w:p>
    <w:p w14:paraId="06E95C9A" w14:textId="77777777" w:rsidR="0020713D" w:rsidRDefault="0000458B">
      <w:pPr>
        <w:rPr>
          <w:rFonts w:ascii="Roboto Slab" w:eastAsia="Roboto Slab" w:hAnsi="Roboto Slab" w:cs="Roboto Slab"/>
          <w:b/>
        </w:rPr>
      </w:pPr>
      <w:r>
        <w:rPr>
          <w:rFonts w:ascii="Roboto Slab" w:eastAsia="Roboto Slab" w:hAnsi="Roboto Slab" w:cs="Roboto Slab"/>
          <w:b/>
        </w:rPr>
        <w:t>Q3</w:t>
      </w:r>
      <w:r>
        <w:rPr>
          <w:rFonts w:ascii="Roboto Slab" w:eastAsia="Roboto Slab" w:hAnsi="Roboto Slab" w:cs="Roboto Slab"/>
          <w:b/>
        </w:rPr>
        <w:tab/>
        <w:t>What support will early career professionals receive during their first three years?</w:t>
      </w:r>
    </w:p>
    <w:p w14:paraId="41922C3A" w14:textId="2FAE0D0B" w:rsidR="0020713D" w:rsidRDefault="0000458B">
      <w:pPr>
        <w:ind w:left="720"/>
        <w:rPr>
          <w:rFonts w:ascii="Roboto Slab" w:eastAsia="Roboto Slab" w:hAnsi="Roboto Slab" w:cs="Roboto Slab"/>
          <w:color w:val="606F78"/>
          <w:highlight w:val="yellow"/>
        </w:rPr>
      </w:pPr>
      <w:r>
        <w:rPr>
          <w:rFonts w:ascii="Roboto Slab" w:eastAsia="Roboto Slab" w:hAnsi="Roboto Slab" w:cs="Roboto Slab"/>
          <w:color w:val="606F78"/>
        </w:rPr>
        <w:t>Early career professionals will receive mentoring support for the first three (3) years of employment.</w:t>
      </w:r>
      <w:r>
        <w:rPr>
          <w:rFonts w:ascii="Roboto Slab" w:eastAsia="Roboto Slab" w:hAnsi="Roboto Slab" w:cs="Roboto Slab"/>
          <w:color w:val="606F78"/>
          <w:sz w:val="24"/>
          <w:szCs w:val="24"/>
        </w:rPr>
        <w:t xml:space="preserve"> A </w:t>
      </w:r>
      <w:r>
        <w:rPr>
          <w:rFonts w:ascii="Roboto Slab" w:eastAsia="Roboto Slab" w:hAnsi="Roboto Slab" w:cs="Roboto Slab"/>
          <w:color w:val="606F78"/>
          <w:highlight w:val="white"/>
        </w:rPr>
        <w:t xml:space="preserve">coordinated partnership between the Arkansas Department of Education’s Office of Educator Effectiveness and the state's Education Service Cooperatives (ESCs) will provide school districts and ESCs greater flexibility to personalize the support structures around the individual needs of early career professionals. Teachers who are in an alternative educator preparation program (formerly “non-traditional”) </w:t>
      </w:r>
      <w:r w:rsidR="0080469A">
        <w:rPr>
          <w:rFonts w:ascii="Roboto Slab" w:eastAsia="Roboto Slab" w:hAnsi="Roboto Slab" w:cs="Roboto Slab"/>
          <w:color w:val="606F78"/>
          <w:highlight w:val="white"/>
        </w:rPr>
        <w:t>will</w:t>
      </w:r>
      <w:r>
        <w:rPr>
          <w:rFonts w:ascii="Roboto Slab" w:eastAsia="Roboto Slab" w:hAnsi="Roboto Slab" w:cs="Roboto Slab"/>
          <w:color w:val="606F78"/>
          <w:highlight w:val="white"/>
        </w:rPr>
        <w:t xml:space="preserve"> receive mentoring support for their first three years or longer until the completion of their program.</w:t>
      </w:r>
    </w:p>
    <w:p w14:paraId="60C1F32A" w14:textId="77777777" w:rsidR="0020713D" w:rsidRDefault="0020713D">
      <w:pPr>
        <w:rPr>
          <w:rFonts w:ascii="Roboto Slab" w:eastAsia="Roboto Slab" w:hAnsi="Roboto Slab" w:cs="Roboto Slab"/>
          <w:b/>
        </w:rPr>
      </w:pPr>
    </w:p>
    <w:p w14:paraId="0B9A893F" w14:textId="354AA0EB" w:rsidR="0020713D" w:rsidRDefault="0000458B">
      <w:pPr>
        <w:rPr>
          <w:rFonts w:ascii="Roboto Slab" w:eastAsia="Roboto Slab" w:hAnsi="Roboto Slab" w:cs="Roboto Slab"/>
          <w:b/>
        </w:rPr>
      </w:pPr>
      <w:r>
        <w:rPr>
          <w:rFonts w:ascii="Roboto Slab" w:eastAsia="Roboto Slab" w:hAnsi="Roboto Slab" w:cs="Roboto Slab"/>
          <w:b/>
        </w:rPr>
        <w:t>Q4</w:t>
      </w:r>
      <w:r>
        <w:rPr>
          <w:rFonts w:ascii="Roboto Slab" w:eastAsia="Roboto Slab" w:hAnsi="Roboto Slab" w:cs="Roboto Slab"/>
          <w:b/>
        </w:rPr>
        <w:tab/>
        <w:t xml:space="preserve">If a district hires </w:t>
      </w:r>
      <w:r w:rsidR="0080469A">
        <w:rPr>
          <w:rFonts w:ascii="Roboto Slab" w:eastAsia="Roboto Slab" w:hAnsi="Roboto Slab" w:cs="Roboto Slab"/>
          <w:b/>
        </w:rPr>
        <w:t>a teacher</w:t>
      </w:r>
      <w:r>
        <w:rPr>
          <w:rFonts w:ascii="Roboto Slab" w:eastAsia="Roboto Slab" w:hAnsi="Roboto Slab" w:cs="Roboto Slab"/>
          <w:b/>
        </w:rPr>
        <w:t xml:space="preserve"> who has a license from another state, must  </w:t>
      </w:r>
    </w:p>
    <w:p w14:paraId="428FFA72" w14:textId="4C457993" w:rsidR="0020713D" w:rsidRDefault="0000458B">
      <w:pPr>
        <w:rPr>
          <w:rFonts w:ascii="Roboto Slab" w:eastAsia="Roboto Slab" w:hAnsi="Roboto Slab" w:cs="Roboto Slab"/>
          <w:b/>
        </w:rPr>
      </w:pPr>
      <w:r>
        <w:rPr>
          <w:rFonts w:ascii="Roboto Slab" w:eastAsia="Roboto Slab" w:hAnsi="Roboto Slab" w:cs="Roboto Slab"/>
          <w:b/>
        </w:rPr>
        <w:t xml:space="preserve">            he/she be mentored? </w:t>
      </w:r>
    </w:p>
    <w:p w14:paraId="34EBE0A6" w14:textId="4DCDEAEF" w:rsidR="0020713D" w:rsidRPr="009919B8" w:rsidRDefault="0000458B" w:rsidP="009919B8">
      <w:pPr>
        <w:ind w:left="720"/>
        <w:rPr>
          <w:rFonts w:ascii="Roboto Slab" w:eastAsia="Roboto Slab" w:hAnsi="Roboto Slab" w:cs="Roboto Slab"/>
          <w:color w:val="606F78"/>
        </w:rPr>
      </w:pPr>
      <w:r>
        <w:rPr>
          <w:rFonts w:ascii="Roboto Slab" w:eastAsia="Roboto Slab" w:hAnsi="Roboto Slab" w:cs="Roboto Slab"/>
          <w:color w:val="606F78"/>
        </w:rPr>
        <w:t xml:space="preserve">Schools and ESCs provide mentoring for all early career professionals during their first three years of employment. Experienced educators new to Arkansas or returning to the profession might benefit from attending informational meetings on the Teacher Excellence and Support System (TESS) and </w:t>
      </w:r>
      <w:proofErr w:type="spellStart"/>
      <w:r>
        <w:rPr>
          <w:rFonts w:ascii="Roboto Slab" w:eastAsia="Roboto Slab" w:hAnsi="Roboto Slab" w:cs="Roboto Slab"/>
          <w:color w:val="606F78"/>
        </w:rPr>
        <w:t>EdReflect</w:t>
      </w:r>
      <w:proofErr w:type="spellEnd"/>
      <w:r>
        <w:rPr>
          <w:rFonts w:ascii="Roboto Slab" w:eastAsia="Roboto Slab" w:hAnsi="Roboto Slab" w:cs="Roboto Slab"/>
          <w:color w:val="606F78"/>
        </w:rPr>
        <w:t xml:space="preserve">. </w:t>
      </w:r>
    </w:p>
    <w:p w14:paraId="58160EC1" w14:textId="77777777" w:rsidR="0020713D" w:rsidRDefault="0020713D">
      <w:pPr>
        <w:rPr>
          <w:rFonts w:ascii="Roboto Slab" w:eastAsia="Roboto Slab" w:hAnsi="Roboto Slab" w:cs="Roboto Slab"/>
          <w:b/>
        </w:rPr>
      </w:pPr>
    </w:p>
    <w:p w14:paraId="6140E2C5" w14:textId="77777777" w:rsidR="0020713D" w:rsidRDefault="0000458B">
      <w:pPr>
        <w:rPr>
          <w:rFonts w:ascii="Roboto Slab" w:eastAsia="Roboto Slab" w:hAnsi="Roboto Slab" w:cs="Roboto Slab"/>
          <w:b/>
        </w:rPr>
      </w:pPr>
      <w:r>
        <w:rPr>
          <w:rFonts w:ascii="Roboto Slab" w:eastAsia="Roboto Slab" w:hAnsi="Roboto Slab" w:cs="Roboto Slab"/>
          <w:b/>
        </w:rPr>
        <w:t>Q5</w:t>
      </w:r>
      <w:r>
        <w:rPr>
          <w:rFonts w:ascii="Roboto Slab" w:eastAsia="Roboto Slab" w:hAnsi="Roboto Slab" w:cs="Roboto Slab"/>
          <w:b/>
        </w:rPr>
        <w:tab/>
        <w:t xml:space="preserve">What are the qualifications for an educator who mentors early career </w:t>
      </w:r>
    </w:p>
    <w:p w14:paraId="1148858C" w14:textId="77777777" w:rsidR="0020713D" w:rsidRDefault="0000458B">
      <w:pPr>
        <w:ind w:firstLine="720"/>
        <w:rPr>
          <w:rFonts w:ascii="Roboto Slab" w:eastAsia="Roboto Slab" w:hAnsi="Roboto Slab" w:cs="Roboto Slab"/>
          <w:b/>
        </w:rPr>
      </w:pPr>
      <w:r>
        <w:rPr>
          <w:rFonts w:ascii="Roboto Slab" w:eastAsia="Roboto Slab" w:hAnsi="Roboto Slab" w:cs="Roboto Slab"/>
          <w:b/>
        </w:rPr>
        <w:t>professionals?</w:t>
      </w:r>
    </w:p>
    <w:p w14:paraId="26380781" w14:textId="36A30226" w:rsidR="0020713D" w:rsidRDefault="0000458B">
      <w:pPr>
        <w:ind w:left="720"/>
        <w:rPr>
          <w:rFonts w:ascii="Roboto Slab" w:eastAsia="Roboto Slab" w:hAnsi="Roboto Slab" w:cs="Roboto Slab"/>
          <w:color w:val="606F78"/>
        </w:rPr>
      </w:pPr>
      <w:r>
        <w:rPr>
          <w:rFonts w:ascii="Roboto Slab" w:eastAsia="Roboto Slab" w:hAnsi="Roboto Slab" w:cs="Roboto Slab"/>
          <w:color w:val="606F78"/>
        </w:rPr>
        <w:t xml:space="preserve">Mentor teachers are required to have three years of classroom </w:t>
      </w:r>
      <w:r w:rsidR="0080469A">
        <w:rPr>
          <w:rFonts w:ascii="Roboto Slab" w:eastAsia="Roboto Slab" w:hAnsi="Roboto Slab" w:cs="Roboto Slab"/>
          <w:color w:val="606F78"/>
        </w:rPr>
        <w:t xml:space="preserve">teaching </w:t>
      </w:r>
      <w:r>
        <w:rPr>
          <w:rFonts w:ascii="Roboto Slab" w:eastAsia="Roboto Slab" w:hAnsi="Roboto Slab" w:cs="Roboto Slab"/>
          <w:color w:val="606F78"/>
        </w:rPr>
        <w:t xml:space="preserve">experience and an effective or highly effective teacher evaluation rating. DESE recommends that teachers with Lead Professional or Master Professional designations be given priority when selecting mentors for early career professionals. If a teacher is mentoring an early career professional who teaches </w:t>
      </w:r>
      <w:r w:rsidR="0080469A">
        <w:rPr>
          <w:rFonts w:ascii="Roboto Slab" w:eastAsia="Roboto Slab" w:hAnsi="Roboto Slab" w:cs="Roboto Slab"/>
          <w:color w:val="606F78"/>
        </w:rPr>
        <w:t xml:space="preserve">in </w:t>
      </w:r>
      <w:r>
        <w:rPr>
          <w:rFonts w:ascii="Roboto Slab" w:eastAsia="Roboto Slab" w:hAnsi="Roboto Slab" w:cs="Roboto Slab"/>
          <w:color w:val="606F78"/>
        </w:rPr>
        <w:t xml:space="preserve">a different content </w:t>
      </w:r>
      <w:r w:rsidR="0080469A">
        <w:rPr>
          <w:rFonts w:ascii="Roboto Slab" w:eastAsia="Roboto Slab" w:hAnsi="Roboto Slab" w:cs="Roboto Slab"/>
          <w:color w:val="606F78"/>
        </w:rPr>
        <w:t xml:space="preserve">area other </w:t>
      </w:r>
      <w:r>
        <w:rPr>
          <w:rFonts w:ascii="Roboto Slab" w:eastAsia="Roboto Slab" w:hAnsi="Roboto Slab" w:cs="Roboto Slab"/>
          <w:color w:val="606F78"/>
        </w:rPr>
        <w:t xml:space="preserve">than the mentor </w:t>
      </w:r>
      <w:r>
        <w:rPr>
          <w:rFonts w:ascii="Roboto Slab" w:eastAsia="Roboto Slab" w:hAnsi="Roboto Slab" w:cs="Roboto Slab"/>
          <w:color w:val="606F78"/>
        </w:rPr>
        <w:lastRenderedPageBreak/>
        <w:t>teacher</w:t>
      </w:r>
      <w:r w:rsidR="0080469A">
        <w:rPr>
          <w:rFonts w:ascii="Roboto Slab" w:eastAsia="Roboto Slab" w:hAnsi="Roboto Slab" w:cs="Roboto Slab"/>
          <w:color w:val="606F78"/>
        </w:rPr>
        <w:t>’s area</w:t>
      </w:r>
      <w:r>
        <w:rPr>
          <w:rFonts w:ascii="Roboto Slab" w:eastAsia="Roboto Slab" w:hAnsi="Roboto Slab" w:cs="Roboto Slab"/>
          <w:color w:val="606F78"/>
        </w:rPr>
        <w:t xml:space="preserve">, the mentor and administrator will find additional content support for the early career professional through the district </w:t>
      </w:r>
      <w:r w:rsidR="009919B8">
        <w:rPr>
          <w:rFonts w:ascii="Roboto Slab" w:eastAsia="Roboto Slab" w:hAnsi="Roboto Slab" w:cs="Roboto Slab"/>
          <w:color w:val="606F78"/>
        </w:rPr>
        <w:t xml:space="preserve">or ESC </w:t>
      </w:r>
      <w:r>
        <w:rPr>
          <w:rFonts w:ascii="Roboto Slab" w:eastAsia="Roboto Slab" w:hAnsi="Roboto Slab" w:cs="Roboto Slab"/>
          <w:color w:val="606F78"/>
        </w:rPr>
        <w:t xml:space="preserve">as needed.  </w:t>
      </w:r>
    </w:p>
    <w:p w14:paraId="4E84A9D1" w14:textId="77777777" w:rsidR="0020713D" w:rsidRDefault="0020713D">
      <w:pPr>
        <w:ind w:left="720"/>
        <w:rPr>
          <w:rFonts w:ascii="Roboto Slab" w:eastAsia="Roboto Slab" w:hAnsi="Roboto Slab" w:cs="Roboto Slab"/>
          <w:color w:val="606F78"/>
        </w:rPr>
      </w:pPr>
    </w:p>
    <w:p w14:paraId="52739B7B" w14:textId="77777777" w:rsidR="0020713D" w:rsidRDefault="0000458B">
      <w:pPr>
        <w:rPr>
          <w:rFonts w:ascii="Roboto Slab" w:eastAsia="Roboto Slab" w:hAnsi="Roboto Slab" w:cs="Roboto Slab"/>
          <w:b/>
        </w:rPr>
      </w:pPr>
      <w:r>
        <w:rPr>
          <w:rFonts w:ascii="Roboto Slab" w:eastAsia="Roboto Slab" w:hAnsi="Roboto Slab" w:cs="Roboto Slab"/>
          <w:b/>
        </w:rPr>
        <w:t>Q6</w:t>
      </w:r>
      <w:r>
        <w:rPr>
          <w:rFonts w:ascii="Roboto Slab" w:eastAsia="Roboto Slab" w:hAnsi="Roboto Slab" w:cs="Roboto Slab"/>
          <w:b/>
        </w:rPr>
        <w:tab/>
        <w:t>Can a mentor be assigned more than one early career professional?</w:t>
      </w:r>
    </w:p>
    <w:p w14:paraId="38208E62" w14:textId="77777777" w:rsidR="0020713D" w:rsidRDefault="0000458B">
      <w:pPr>
        <w:ind w:left="720"/>
        <w:rPr>
          <w:rFonts w:ascii="Roboto Slab" w:eastAsia="Roboto Slab" w:hAnsi="Roboto Slab" w:cs="Roboto Slab"/>
          <w:b/>
        </w:rPr>
      </w:pPr>
      <w:r>
        <w:rPr>
          <w:rFonts w:ascii="Roboto Slab" w:eastAsia="Roboto Slab" w:hAnsi="Roboto Slab" w:cs="Roboto Slab"/>
          <w:color w:val="606F78"/>
        </w:rPr>
        <w:t xml:space="preserve">Building administrators and ESC specialists should work collaboratively to determine a reasonable mentor/mentee ratio based on the level of support each early career professional needs. Mentoring responsibilities should never interfere with the mentor teachers’ responsibilities to effectively teach their own students. </w:t>
      </w:r>
    </w:p>
    <w:p w14:paraId="54031121" w14:textId="77777777" w:rsidR="0020713D" w:rsidRDefault="0020713D">
      <w:pPr>
        <w:ind w:left="720"/>
        <w:rPr>
          <w:rFonts w:ascii="Roboto Slab" w:eastAsia="Roboto Slab" w:hAnsi="Roboto Slab" w:cs="Roboto Slab"/>
          <w:b/>
        </w:rPr>
      </w:pPr>
    </w:p>
    <w:p w14:paraId="7E44A87A" w14:textId="6B98A18D" w:rsidR="0020713D" w:rsidRDefault="0000458B" w:rsidP="0080469A">
      <w:pPr>
        <w:ind w:left="720" w:hanging="720"/>
        <w:rPr>
          <w:rFonts w:ascii="Roboto Slab" w:eastAsia="Roboto Slab" w:hAnsi="Roboto Slab" w:cs="Roboto Slab"/>
          <w:b/>
        </w:rPr>
      </w:pPr>
      <w:r>
        <w:rPr>
          <w:rFonts w:ascii="Roboto Slab" w:eastAsia="Roboto Slab" w:hAnsi="Roboto Slab" w:cs="Roboto Slab"/>
          <w:b/>
        </w:rPr>
        <w:t>Q7</w:t>
      </w:r>
      <w:r>
        <w:rPr>
          <w:rFonts w:ascii="Roboto Slab" w:eastAsia="Roboto Slab" w:hAnsi="Roboto Slab" w:cs="Roboto Slab"/>
          <w:b/>
        </w:rPr>
        <w:tab/>
        <w:t xml:space="preserve">Does a mentor need to stay with the same early career professional for the entire 3 years? </w:t>
      </w:r>
    </w:p>
    <w:p w14:paraId="2B004A15" w14:textId="77777777" w:rsidR="0020713D" w:rsidRDefault="0000458B">
      <w:pPr>
        <w:ind w:left="720"/>
        <w:rPr>
          <w:rFonts w:ascii="Roboto Slab" w:eastAsia="Roboto Slab" w:hAnsi="Roboto Slab" w:cs="Roboto Slab"/>
        </w:rPr>
      </w:pPr>
      <w:r>
        <w:rPr>
          <w:rFonts w:ascii="Roboto Slab" w:eastAsia="Roboto Slab" w:hAnsi="Roboto Slab" w:cs="Roboto Slab"/>
          <w:color w:val="606F78"/>
        </w:rPr>
        <w:t xml:space="preserve">The mentor is not required to stay with the same early career professional for three years. If several well-qualified teachers are available to mentor, early career professionals may benefit from exposure to different teaching methods. However, if the mentor teacher and early career professional have established a collegial mentoring relationship that too should be taken into consideration before assigning a new mentor. </w:t>
      </w:r>
    </w:p>
    <w:p w14:paraId="7ADC015B" w14:textId="77777777" w:rsidR="0020713D" w:rsidRDefault="0020713D" w:rsidP="009919B8">
      <w:pPr>
        <w:rPr>
          <w:rFonts w:ascii="Roboto Slab" w:eastAsia="Roboto Slab" w:hAnsi="Roboto Slab" w:cs="Roboto Slab"/>
        </w:rPr>
      </w:pPr>
    </w:p>
    <w:p w14:paraId="652CF6AB" w14:textId="77777777" w:rsidR="0020713D" w:rsidRDefault="0000458B">
      <w:pPr>
        <w:rPr>
          <w:rFonts w:ascii="Roboto Slab" w:eastAsia="Roboto Slab" w:hAnsi="Roboto Slab" w:cs="Roboto Slab"/>
          <w:b/>
        </w:rPr>
      </w:pPr>
      <w:r>
        <w:rPr>
          <w:rFonts w:ascii="Roboto Slab" w:eastAsia="Roboto Slab" w:hAnsi="Roboto Slab" w:cs="Roboto Slab"/>
          <w:b/>
        </w:rPr>
        <w:t>Q8</w:t>
      </w:r>
      <w:r>
        <w:rPr>
          <w:rFonts w:ascii="Roboto Slab" w:eastAsia="Roboto Slab" w:hAnsi="Roboto Slab" w:cs="Roboto Slab"/>
          <w:b/>
        </w:rPr>
        <w:tab/>
        <w:t xml:space="preserve">If I have additional questions regarding teacher mentoring, who should I </w:t>
      </w:r>
    </w:p>
    <w:p w14:paraId="08FFECA5" w14:textId="597A84CC" w:rsidR="0020713D" w:rsidRDefault="0000458B">
      <w:pPr>
        <w:rPr>
          <w:rFonts w:ascii="Roboto Slab" w:eastAsia="Roboto Slab" w:hAnsi="Roboto Slab" w:cs="Roboto Slab"/>
          <w:b/>
        </w:rPr>
      </w:pPr>
      <w:r>
        <w:rPr>
          <w:rFonts w:ascii="Roboto Slab" w:eastAsia="Roboto Slab" w:hAnsi="Roboto Slab" w:cs="Roboto Slab"/>
          <w:b/>
        </w:rPr>
        <w:t xml:space="preserve">            ask?  </w:t>
      </w:r>
    </w:p>
    <w:p w14:paraId="5D262658" w14:textId="77777777" w:rsidR="0020713D" w:rsidRDefault="0000458B">
      <w:pPr>
        <w:ind w:left="720"/>
        <w:rPr>
          <w:rFonts w:ascii="Roboto Slab" w:eastAsia="Roboto Slab" w:hAnsi="Roboto Slab" w:cs="Roboto Slab"/>
          <w:color w:val="606F78"/>
        </w:rPr>
      </w:pPr>
      <w:r>
        <w:rPr>
          <w:rFonts w:ascii="Roboto Slab" w:eastAsia="Roboto Slab" w:hAnsi="Roboto Slab" w:cs="Roboto Slab"/>
          <w:color w:val="606F78"/>
        </w:rPr>
        <w:t xml:space="preserve">To get answers to any mentoring questions, please contact your building administrator,  your local </w:t>
      </w:r>
      <w:hyperlink r:id="rId10">
        <w:r>
          <w:rPr>
            <w:rFonts w:ascii="Roboto Slab" w:eastAsia="Roboto Slab" w:hAnsi="Roboto Slab" w:cs="Roboto Slab"/>
            <w:color w:val="1155CC"/>
            <w:u w:val="single"/>
          </w:rPr>
          <w:t>Educational Service Cooperative</w:t>
        </w:r>
      </w:hyperlink>
      <w:r>
        <w:rPr>
          <w:rFonts w:ascii="Roboto Slab" w:eastAsia="Roboto Slab" w:hAnsi="Roboto Slab" w:cs="Roboto Slab"/>
          <w:color w:val="606F78"/>
        </w:rPr>
        <w:t xml:space="preserve">, or the Office of Educator Effectiveness with the Division of Elementary and Secondary Education. </w:t>
      </w:r>
    </w:p>
    <w:p w14:paraId="1B99E4D9" w14:textId="77777777" w:rsidR="0020713D" w:rsidRDefault="0020713D">
      <w:pPr>
        <w:ind w:left="720"/>
        <w:rPr>
          <w:rFonts w:ascii="Roboto Slab" w:eastAsia="Roboto Slab" w:hAnsi="Roboto Slab" w:cs="Roboto Slab"/>
          <w:color w:val="606F78"/>
        </w:rPr>
      </w:pPr>
    </w:p>
    <w:p w14:paraId="79ED1B5D" w14:textId="77777777" w:rsidR="0020713D" w:rsidRDefault="0020713D">
      <w:pPr>
        <w:ind w:left="720"/>
        <w:rPr>
          <w:rFonts w:ascii="Roboto Slab" w:eastAsia="Roboto Slab" w:hAnsi="Roboto Slab" w:cs="Roboto Slab"/>
          <w:color w:val="606F78"/>
        </w:rPr>
      </w:pPr>
      <w:bookmarkStart w:id="0" w:name="_GoBack"/>
      <w:bookmarkEnd w:id="0"/>
    </w:p>
    <w:sectPr w:rsidR="0020713D">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986FC" w14:textId="77777777" w:rsidR="008D30B8" w:rsidRDefault="008D30B8">
      <w:pPr>
        <w:spacing w:line="240" w:lineRule="auto"/>
      </w:pPr>
      <w:r>
        <w:separator/>
      </w:r>
    </w:p>
  </w:endnote>
  <w:endnote w:type="continuationSeparator" w:id="0">
    <w:p w14:paraId="1F1E08C8" w14:textId="77777777" w:rsidR="008D30B8" w:rsidRDefault="008D30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Roboto Slab">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36D03" w14:textId="77777777" w:rsidR="0020713D" w:rsidRDefault="0000458B">
    <w:pPr>
      <w:rPr>
        <w:rFonts w:ascii="Roboto Slab" w:eastAsia="Roboto Slab" w:hAnsi="Roboto Slab" w:cs="Roboto Slab"/>
      </w:rPr>
    </w:pPr>
    <w:r>
      <w:t xml:space="preserve">                                                                                                                                     </w:t>
    </w:r>
    <w:r>
      <w:rPr>
        <w:rFonts w:ascii="Roboto Slab" w:eastAsia="Roboto Slab" w:hAnsi="Roboto Slab" w:cs="Roboto Slab"/>
      </w:rPr>
      <w:t>9-16/2020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33967" w14:textId="77777777" w:rsidR="008D30B8" w:rsidRDefault="008D30B8">
      <w:pPr>
        <w:spacing w:line="240" w:lineRule="auto"/>
      </w:pPr>
      <w:r>
        <w:separator/>
      </w:r>
    </w:p>
  </w:footnote>
  <w:footnote w:type="continuationSeparator" w:id="0">
    <w:p w14:paraId="79634D7E" w14:textId="77777777" w:rsidR="008D30B8" w:rsidRDefault="008D30B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13D"/>
    <w:rsid w:val="0000458B"/>
    <w:rsid w:val="0020713D"/>
    <w:rsid w:val="002163BE"/>
    <w:rsid w:val="0080469A"/>
    <w:rsid w:val="008D30B8"/>
    <w:rsid w:val="009919B8"/>
    <w:rsid w:val="009F5353"/>
    <w:rsid w:val="00C83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6FCA54"/>
  <w15:docId w15:val="{D6B1C843-FB41-4040-8D5B-C4206F833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dese.ade.arkansas.gov/public/userfiles/rules/Current/2017/Educator_Support_Rules_FINAL.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ese.ade.arkansas.gov/public/userfiles/rules/Current/2017/Educator_Support_Rules_FINAL.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docs.google.com/spreadsheets/d/1nRCbnfm7a1D1baMVpntdC8yVbjZY9gK-jEEe4OjR5FY/edit?usp=sharing" TargetMode="External"/><Relationship Id="rId4" Type="http://schemas.openxmlformats.org/officeDocument/2006/relationships/footnotes" Target="footnotes.xml"/><Relationship Id="rId9" Type="http://schemas.openxmlformats.org/officeDocument/2006/relationships/hyperlink" Target="http://dese.ade.arkansas.gov/public/userfiles/rules/Current/2017/Educator_Support_Rules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Bobette Ray</cp:lastModifiedBy>
  <cp:revision>2</cp:revision>
  <dcterms:created xsi:type="dcterms:W3CDTF">2021-05-03T15:07:00Z</dcterms:created>
  <dcterms:modified xsi:type="dcterms:W3CDTF">2021-05-03T15:07:00Z</dcterms:modified>
</cp:coreProperties>
</file>